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36" w:rsidRDefault="00550D36" w:rsidP="00550D36">
      <w:pPr>
        <w:pStyle w:val="1"/>
        <w:tabs>
          <w:tab w:val="left" w:pos="7088"/>
        </w:tabs>
        <w:spacing w:line="360" w:lineRule="auto"/>
        <w:ind w:firstLineChars="0" w:firstLine="0"/>
        <w:rPr>
          <w:rFonts w:ascii="仿宋_GB2312" w:eastAsia="仿宋_GB2312"/>
          <w:b/>
          <w:sz w:val="24"/>
        </w:rPr>
      </w:pPr>
      <w:r w:rsidRPr="00113238">
        <w:rPr>
          <w:rFonts w:hAnsi="仿宋_GB2312"/>
          <w:b/>
          <w:bCs/>
          <w:sz w:val="36"/>
          <w:szCs w:val="36"/>
        </w:rPr>
        <w:t>【</w:t>
      </w:r>
      <w:r>
        <w:rPr>
          <w:rFonts w:hAnsi="仿宋_GB2312" w:hint="eastAsia"/>
          <w:b/>
          <w:bCs/>
          <w:sz w:val="36"/>
          <w:szCs w:val="36"/>
        </w:rPr>
        <w:t>煤炭能源</w:t>
      </w:r>
      <w:r w:rsidRPr="00113238">
        <w:rPr>
          <w:rFonts w:hAnsi="仿宋_GB2312"/>
          <w:b/>
          <w:bCs/>
          <w:sz w:val="36"/>
          <w:szCs w:val="36"/>
        </w:rPr>
        <w:t>板块】</w:t>
      </w:r>
    </w:p>
    <w:p w:rsidR="00481009" w:rsidRDefault="00481009" w:rsidP="00481009">
      <w:pPr>
        <w:pStyle w:val="8"/>
        <w:tabs>
          <w:tab w:val="left" w:pos="7088"/>
        </w:tabs>
        <w:spacing w:line="360" w:lineRule="auto"/>
        <w:ind w:firstLineChars="0" w:firstLine="0"/>
        <w:rPr>
          <w:rFonts w:ascii="仿宋_GB2312" w:eastAsia="仿宋_GB2312"/>
          <w:b/>
          <w:sz w:val="24"/>
        </w:rPr>
      </w:pPr>
      <w:r>
        <w:rPr>
          <w:rFonts w:ascii="仿宋_GB2312" w:eastAsia="仿宋_GB2312" w:hint="eastAsia"/>
          <w:b/>
          <w:sz w:val="24"/>
        </w:rPr>
        <w:t>动力煤：小幅上涨</w:t>
      </w:r>
    </w:p>
    <w:p w:rsidR="00481009" w:rsidRDefault="00481009" w:rsidP="00481009">
      <w:pPr>
        <w:pStyle w:val="8"/>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本周动力煤价格小幅上涨。周五渤海商品交易所动力煤收于499元/吨，较与上周价格上涨11元/吨，交易量增加，订货量小幅减少。</w:t>
      </w:r>
    </w:p>
    <w:p w:rsidR="00481009" w:rsidRDefault="00481009" w:rsidP="00481009">
      <w:pPr>
        <w:pStyle w:val="a7"/>
        <w:shd w:val="clear" w:color="auto" w:fill="FFFFFF"/>
        <w:wordWrap w:val="0"/>
        <w:spacing w:before="0" w:beforeAutospacing="0" w:after="0" w:afterAutospacing="0" w:line="360" w:lineRule="auto"/>
        <w:ind w:firstLineChars="200" w:firstLine="480"/>
        <w:jc w:val="both"/>
        <w:rPr>
          <w:rFonts w:ascii="仿宋_GB2312" w:eastAsia="仿宋_GB2312" w:hAnsi="仿宋"/>
          <w:color w:val="000000"/>
        </w:rPr>
      </w:pPr>
      <w:r>
        <w:rPr>
          <w:rFonts w:ascii="仿宋_GB2312" w:eastAsia="仿宋_GB2312" w:hAnsi="仿宋" w:hint="eastAsia"/>
          <w:color w:val="000000"/>
        </w:rPr>
        <w:t>动力</w:t>
      </w:r>
      <w:hyperlink r:id="rId7" w:anchor="bohai" w:tgtFrame="_blank" w:history="1">
        <w:r>
          <w:rPr>
            <w:rStyle w:val="a6"/>
            <w:rFonts w:ascii="仿宋_GB2312" w:eastAsia="仿宋_GB2312" w:hAnsi="仿宋" w:hint="eastAsia"/>
          </w:rPr>
          <w:t>煤价</w:t>
        </w:r>
      </w:hyperlink>
      <w:r>
        <w:rPr>
          <w:rFonts w:ascii="仿宋_GB2312" w:eastAsia="仿宋_GB2312" w:hAnsi="仿宋" w:hint="eastAsia"/>
          <w:color w:val="000000"/>
        </w:rPr>
        <w:t>格止跌反弹，扭转3个月以来下跌趋势，前期调控措施初见成效。神华上调9月销售价格有望引发其他煤企跟进，国内动力煤价格有望重回上涨通道。受神华上调9月份销售价格影响，本期环渤海动力煤价格指数止跌反弹，最新报收482元/吨，比上一个报告期上涨4元/吨。从上证报资讯获悉，中国神华上调9月份销售价格，基准煤种上涨5元/吨，执行期为一个月。一直以来，在港口煤市场，中小煤企都受制于大型煤企制定的销售价格，此前神华、中煤的大幅下调价格，使得中小煤企普遍处于亏损状态。此次神华提价将打开煤价上调空间，经营压力将会促使中小煤企积极跟进，港口煤市场有望逐步回暖。煤炭行业半年报业绩大幅下降，未来改善点在于供给端。从上证报资讯获悉，受煤炭下游需求疲软的影响，上半年煤炭行业利润总额为613亿元，同比下降43.85%。由于煤炭属于高污染行业，在能源结构调整中煤炭处于被替代品种，因而未来需求端难以反转。在需求端难有改善的背景下，只能通过供给端来调控。此前发改委、能源局和煤矿安监局下发减产、停产相关通知，神华、中煤两大央企率先提前响应，纷纷减产，都是从供给端入手进行调整，如果其他煤企也陆续跟进，短期煤炭供给端将超预期收缩，市场预计短期内将影响煤炭供给近1亿吨左右。</w:t>
      </w:r>
    </w:p>
    <w:p w:rsidR="00481009" w:rsidRDefault="00481009" w:rsidP="00481009">
      <w:pPr>
        <w:pStyle w:val="a7"/>
        <w:shd w:val="clear" w:color="auto" w:fill="FFFFFF"/>
        <w:spacing w:before="0" w:beforeAutospacing="0" w:after="0" w:afterAutospacing="0" w:line="360" w:lineRule="auto"/>
        <w:ind w:firstLineChars="200" w:firstLine="480"/>
        <w:jc w:val="both"/>
        <w:rPr>
          <w:rFonts w:ascii="仿宋_GB2312" w:eastAsia="仿宋_GB2312" w:hAnsi="仿宋"/>
          <w:color w:val="000000"/>
        </w:rPr>
      </w:pPr>
      <w:r>
        <w:rPr>
          <w:rFonts w:ascii="仿宋_GB2312" w:eastAsia="仿宋_GB2312" w:hAnsi="仿宋" w:hint="eastAsia"/>
        </w:rPr>
        <w:t>环渤海动力煤价指数较上周上涨4元元/吨，最新报价482元/吨。</w:t>
      </w:r>
      <w:hyperlink r:id="rId8" w:history="1">
        <w:r>
          <w:rPr>
            <w:rStyle w:val="a6"/>
            <w:rFonts w:ascii="仿宋_GB2312" w:eastAsia="仿宋_GB2312" w:hAnsi="仿宋" w:hint="eastAsia"/>
            <w:vanish/>
          </w:rPr>
          <w:t>www.hibor.com.cn【慧博投研资讯】</w:t>
        </w:r>
      </w:hyperlink>
      <w:r>
        <w:rPr>
          <w:rFonts w:ascii="仿宋_GB2312" w:eastAsia="仿宋_GB2312" w:hAnsi="仿宋" w:hint="eastAsia"/>
        </w:rPr>
        <w:t>目前渤商所动力煤价格比传统现货价格低，煤炭企业可根据最近市场行情逢低买入，以降低成本。投资者可关注郑商所与渤商所动力煤，寻找跨市套利机会。个人投资者顺势而为，及时止盈止损。</w:t>
      </w:r>
    </w:p>
    <w:p w:rsidR="00481009" w:rsidRDefault="00481009" w:rsidP="00481009">
      <w:pPr>
        <w:pStyle w:val="a7"/>
        <w:shd w:val="clear" w:color="auto" w:fill="FFFFFF"/>
        <w:spacing w:before="0" w:beforeAutospacing="0" w:after="0" w:afterAutospacing="0" w:line="360" w:lineRule="auto"/>
        <w:ind w:firstLineChars="150" w:firstLine="360"/>
        <w:jc w:val="both"/>
        <w:rPr>
          <w:rFonts w:ascii="仿宋" w:eastAsia="仿宋" w:hAnsi="仿宋"/>
          <w:color w:val="000000"/>
        </w:rPr>
      </w:pPr>
    </w:p>
    <w:p w:rsidR="00481009" w:rsidRDefault="00481009" w:rsidP="00481009">
      <w:pPr>
        <w:pStyle w:val="8"/>
        <w:tabs>
          <w:tab w:val="left" w:pos="7088"/>
        </w:tabs>
        <w:spacing w:line="360" w:lineRule="auto"/>
        <w:ind w:firstLineChars="0" w:firstLine="0"/>
        <w:rPr>
          <w:rFonts w:ascii="仿宋_GB2312" w:eastAsia="仿宋_GB2312" w:hAnsi="仿宋"/>
          <w:b/>
          <w:sz w:val="24"/>
        </w:rPr>
      </w:pPr>
      <w:r>
        <w:rPr>
          <w:rFonts w:ascii="仿宋_GB2312" w:eastAsia="仿宋_GB2312" w:hAnsi="仿宋" w:hint="eastAsia"/>
          <w:b/>
          <w:sz w:val="24"/>
        </w:rPr>
        <w:t>焦煤：下跌</w:t>
      </w:r>
    </w:p>
    <w:p w:rsidR="00481009" w:rsidRDefault="00481009" w:rsidP="00481009">
      <w:pPr>
        <w:pStyle w:val="8"/>
        <w:tabs>
          <w:tab w:val="left" w:pos="7088"/>
        </w:tabs>
        <w:spacing w:line="360" w:lineRule="auto"/>
        <w:ind w:firstLine="480"/>
        <w:rPr>
          <w:rFonts w:ascii="仿宋_GB2312" w:eastAsia="仿宋_GB2312" w:hAnsi="仿宋"/>
          <w:sz w:val="24"/>
        </w:rPr>
      </w:pPr>
      <w:r>
        <w:rPr>
          <w:rFonts w:ascii="仿宋_GB2312" w:eastAsia="仿宋_GB2312" w:hAnsi="仿宋" w:hint="eastAsia"/>
          <w:sz w:val="24"/>
        </w:rPr>
        <w:t>本周焦煤价格下跌的趋势。周五渤海商品交易所焦煤出现价格回升收于598元，交易量与订货量稳定。</w:t>
      </w:r>
    </w:p>
    <w:p w:rsidR="00481009" w:rsidRDefault="00481009" w:rsidP="00481009">
      <w:pPr>
        <w:spacing w:line="360" w:lineRule="auto"/>
        <w:ind w:firstLineChars="200" w:firstLine="480"/>
        <w:rPr>
          <w:rFonts w:ascii="仿宋_GB2312" w:eastAsia="仿宋_GB2312" w:hAnsi="仿宋"/>
          <w:sz w:val="24"/>
        </w:rPr>
      </w:pPr>
      <w:r>
        <w:rPr>
          <w:rFonts w:ascii="仿宋_GB2312" w:eastAsia="仿宋_GB2312" w:hAnsi="仿宋" w:hint="eastAsia"/>
          <w:sz w:val="24"/>
        </w:rPr>
        <w:t>终端延续去库存,矿价大跌维持钢厂盈利高位震荡,煤焦价格短期仍将弱势震荡。本周社会钢材库存环比下降1.34%,矿价大跌致下游悲观预期加深,终端去</w:t>
      </w:r>
      <w:r>
        <w:rPr>
          <w:rFonts w:ascii="仿宋_GB2312" w:eastAsia="仿宋_GB2312" w:hAnsi="仿宋" w:hint="eastAsia"/>
          <w:sz w:val="24"/>
        </w:rPr>
        <w:lastRenderedPageBreak/>
        <w:t>库幅度加大致本周Myspic 指数环比下跌1.25至115.98。上周降幅较大的钢厂盈利面本周企稳小幅回升0.62个百分点至80.37%,钢厂开工率维持高位震荡。考虑到旺季下游供需两端季节性释放,开工仍有可能继续高位提升,如果矿价弱势可以维持钢厂高位盈利,那么产品价格下跌刺激额外终端需求(包括内外需)将利于煤焦需求改善,但预计幅度有限,真正能够带动产业链价格可观反弹仍要依赖房地产和基建投资以及流动性缓解打开产业链补库空间,目前来看不确定性仍较大,预计短期煤价维持弱势震荡。</w:t>
      </w:r>
    </w:p>
    <w:p w:rsidR="00481009" w:rsidRDefault="00481009" w:rsidP="00481009">
      <w:pPr>
        <w:spacing w:line="360" w:lineRule="auto"/>
        <w:ind w:firstLineChars="200" w:firstLine="480"/>
        <w:rPr>
          <w:rFonts w:ascii="仿宋_GB2312" w:eastAsia="仿宋_GB2312" w:hAnsi="仿宋"/>
          <w:sz w:val="24"/>
        </w:rPr>
      </w:pPr>
      <w:r>
        <w:rPr>
          <w:rFonts w:ascii="仿宋_GB2312" w:eastAsia="仿宋_GB2312" w:hAnsi="仿宋" w:hint="eastAsia"/>
          <w:sz w:val="24"/>
        </w:rPr>
        <w:t>大商所1501合约价格与渤商所焦煤现价有一定价差，投资者可寻找跨市套利机会。个人投资者顺势而为，及时止盈止损。</w:t>
      </w:r>
    </w:p>
    <w:p w:rsidR="00481009" w:rsidRDefault="00481009" w:rsidP="00481009">
      <w:pPr>
        <w:spacing w:line="360" w:lineRule="auto"/>
        <w:ind w:firstLineChars="200" w:firstLine="480"/>
        <w:rPr>
          <w:rFonts w:ascii="仿宋_GB2312" w:eastAsia="仿宋_GB2312" w:hAnsi="仿宋"/>
          <w:sz w:val="24"/>
        </w:rPr>
      </w:pPr>
    </w:p>
    <w:p w:rsidR="00481009" w:rsidRDefault="00481009" w:rsidP="00481009">
      <w:pPr>
        <w:pStyle w:val="8"/>
        <w:tabs>
          <w:tab w:val="left" w:pos="7088"/>
        </w:tabs>
        <w:spacing w:line="360" w:lineRule="auto"/>
        <w:ind w:firstLineChars="0" w:firstLine="0"/>
        <w:rPr>
          <w:rFonts w:ascii="仿宋_GB2312" w:eastAsia="仿宋_GB2312"/>
          <w:b/>
          <w:sz w:val="24"/>
        </w:rPr>
      </w:pPr>
      <w:r>
        <w:rPr>
          <w:rFonts w:ascii="仿宋_GB2312" w:eastAsia="仿宋_GB2312" w:hint="eastAsia"/>
          <w:b/>
          <w:sz w:val="24"/>
        </w:rPr>
        <w:t>焦炭：上涨</w:t>
      </w:r>
    </w:p>
    <w:p w:rsidR="00481009" w:rsidRDefault="00481009" w:rsidP="00481009">
      <w:pPr>
        <w:pStyle w:val="8"/>
        <w:tabs>
          <w:tab w:val="left" w:pos="7088"/>
        </w:tabs>
        <w:spacing w:line="360" w:lineRule="auto"/>
        <w:ind w:firstLine="480"/>
        <w:rPr>
          <w:rFonts w:ascii="仿宋_GB2312" w:eastAsia="仿宋_GB2312"/>
          <w:sz w:val="24"/>
        </w:rPr>
      </w:pPr>
      <w:r>
        <w:rPr>
          <w:rFonts w:ascii="仿宋_GB2312" w:eastAsia="仿宋_GB2312" w:hint="eastAsia"/>
          <w:sz w:val="24"/>
        </w:rPr>
        <w:t>本周焦煤价格呈上涨趋势。周五渤海商品交易所焦炭小幅上涨收于1022元，交易量与订货量稳定。</w:t>
      </w:r>
    </w:p>
    <w:p w:rsidR="00481009" w:rsidRDefault="00481009" w:rsidP="00481009">
      <w:pPr>
        <w:pStyle w:val="8"/>
        <w:tabs>
          <w:tab w:val="left" w:pos="7088"/>
        </w:tabs>
        <w:spacing w:line="360" w:lineRule="auto"/>
        <w:ind w:firstLine="480"/>
        <w:rPr>
          <w:rFonts w:ascii="仿宋_GB2312" w:eastAsia="仿宋_GB2312"/>
          <w:sz w:val="24"/>
        </w:rPr>
      </w:pPr>
      <w:r>
        <w:rPr>
          <w:rFonts w:ascii="仿宋_GB2312" w:eastAsia="仿宋_GB2312" w:hint="eastAsia"/>
          <w:sz w:val="24"/>
        </w:rPr>
        <w:t>煤炭困局的根本原因是供需不平衡。一方面，由于宏观经济增长趋缓，煤炭下游市场的需求不振。雾霾治理进一步压缩了煤炭需求的增长空间。另一方面，煤炭行业经历黄金十年，产能得到快速和大幅度扩展。由于产能建设具有粘性，尽管近两年煤炭需求增速明显下降，但是产能增速依然无法减缓。过剩产能是制约目前煤炭行业发展的最重要因素，产能和需求错配的直接结果是煤炭价格大幅度下降。此外，由于新增产能的资金投入大，且多为银行贷款，煤炭企业承担很大的财务压力和资金压力，就具有更强的释放产能的动机。</w:t>
      </w:r>
    </w:p>
    <w:p w:rsidR="00481009" w:rsidRDefault="00481009" w:rsidP="00481009">
      <w:pPr>
        <w:pStyle w:val="8"/>
        <w:tabs>
          <w:tab w:val="left" w:pos="7088"/>
        </w:tabs>
        <w:spacing w:line="360" w:lineRule="auto"/>
        <w:ind w:firstLine="480"/>
        <w:rPr>
          <w:rFonts w:ascii="仿宋_GB2312" w:eastAsia="仿宋_GB2312"/>
          <w:sz w:val="24"/>
        </w:rPr>
      </w:pPr>
      <w:r>
        <w:rPr>
          <w:rFonts w:ascii="仿宋_GB2312" w:eastAsia="仿宋_GB2312" w:hint="eastAsia"/>
          <w:sz w:val="24"/>
        </w:rPr>
        <w:t>目前房地产市场整体低迷，但中央微刺激政策中涉及基建提速、下半年棚户区改造以及铁路项目加速上马等激励，比如铁路项目，按全年完成8000亿元的目标，国家铁路需要在下半年完成6000亿元投资，几乎是上半年完成额的三倍。我们判断下半年钢铁需求存在恢复的可能性，这将弥补房地产市场的疲弱，当然这需要数据进一步佐证，且预期至现实尚需要时日。</w:t>
      </w:r>
    </w:p>
    <w:p w:rsidR="00481009" w:rsidRDefault="00481009" w:rsidP="00481009">
      <w:pPr>
        <w:pStyle w:val="a7"/>
        <w:shd w:val="clear" w:color="auto" w:fill="FFFFFF"/>
        <w:spacing w:before="0" w:beforeAutospacing="0" w:after="0" w:afterAutospacing="0" w:line="360" w:lineRule="auto"/>
        <w:ind w:firstLineChars="177" w:firstLine="425"/>
        <w:jc w:val="both"/>
        <w:rPr>
          <w:rFonts w:ascii="仿宋_GB2312" w:eastAsia="仿宋_GB2312"/>
        </w:rPr>
      </w:pPr>
      <w:r>
        <w:rPr>
          <w:rFonts w:ascii="仿宋_GB2312" w:eastAsia="仿宋_GB2312" w:hint="eastAsia"/>
        </w:rPr>
        <w:t>大商所1501合约价格与渤商所焦煤现价有一定价差，投资者可寻找跨市套利机会。个人投资者顺势而为，及时止盈止损。</w:t>
      </w:r>
    </w:p>
    <w:p w:rsidR="00481009" w:rsidRDefault="00481009" w:rsidP="00481009">
      <w:pPr>
        <w:pStyle w:val="a7"/>
        <w:shd w:val="clear" w:color="auto" w:fill="FFFFFF"/>
        <w:spacing w:before="0" w:beforeAutospacing="0" w:after="0" w:afterAutospacing="0" w:line="360" w:lineRule="auto"/>
        <w:ind w:firstLineChars="177" w:firstLine="425"/>
        <w:jc w:val="both"/>
        <w:rPr>
          <w:rFonts w:ascii="仿宋_GB2312" w:eastAsia="仿宋_GB2312"/>
        </w:rPr>
      </w:pPr>
    </w:p>
    <w:p w:rsidR="00481009" w:rsidRDefault="00481009" w:rsidP="00481009">
      <w:pPr>
        <w:pStyle w:val="8"/>
        <w:tabs>
          <w:tab w:val="left" w:pos="7088"/>
        </w:tabs>
        <w:spacing w:line="360" w:lineRule="auto"/>
        <w:ind w:firstLineChars="0" w:firstLine="0"/>
        <w:rPr>
          <w:rFonts w:ascii="仿宋_GB2312" w:eastAsia="仿宋_GB2312"/>
          <w:b/>
          <w:sz w:val="24"/>
        </w:rPr>
      </w:pPr>
      <w:r>
        <w:rPr>
          <w:rFonts w:ascii="仿宋_GB2312" w:eastAsia="仿宋_GB2312" w:hAnsi="仿宋_GB2312" w:cs="仿宋_GB2312" w:hint="eastAsia"/>
          <w:b/>
          <w:bCs/>
          <w:sz w:val="24"/>
          <w:szCs w:val="24"/>
        </w:rPr>
        <w:t>焦炭（伟天）</w:t>
      </w:r>
      <w:r>
        <w:rPr>
          <w:rFonts w:ascii="仿宋_GB2312" w:eastAsia="仿宋_GB2312" w:hint="eastAsia"/>
          <w:b/>
          <w:sz w:val="24"/>
        </w:rPr>
        <w:t>：下跌</w:t>
      </w:r>
    </w:p>
    <w:p w:rsidR="00481009" w:rsidRDefault="00481009" w:rsidP="00481009">
      <w:pPr>
        <w:pStyle w:val="8"/>
        <w:tabs>
          <w:tab w:val="left" w:pos="7088"/>
        </w:tabs>
        <w:spacing w:line="360" w:lineRule="auto"/>
        <w:ind w:firstLine="480"/>
        <w:rPr>
          <w:rFonts w:ascii="仿宋_GB2312" w:eastAsia="仿宋_GB2312"/>
          <w:sz w:val="24"/>
        </w:rPr>
      </w:pPr>
      <w:r>
        <w:rPr>
          <w:rFonts w:ascii="仿宋_GB2312" w:eastAsia="仿宋_GB2312" w:hint="eastAsia"/>
          <w:sz w:val="24"/>
        </w:rPr>
        <w:lastRenderedPageBreak/>
        <w:t>本周</w:t>
      </w:r>
      <w:r>
        <w:rPr>
          <w:rFonts w:ascii="仿宋_GB2312" w:eastAsia="仿宋_GB2312" w:hAnsi="仿宋_GB2312" w:cs="仿宋_GB2312" w:hint="eastAsia"/>
          <w:sz w:val="24"/>
          <w:szCs w:val="24"/>
        </w:rPr>
        <w:t>焦炭（伟天）</w:t>
      </w:r>
      <w:r>
        <w:rPr>
          <w:rFonts w:ascii="仿宋_GB2312" w:eastAsia="仿宋_GB2312" w:hint="eastAsia"/>
          <w:sz w:val="24"/>
        </w:rPr>
        <w:t>价格下跌。周五渤海商品交易所</w:t>
      </w:r>
      <w:r>
        <w:rPr>
          <w:rFonts w:ascii="仿宋_GB2312" w:eastAsia="仿宋_GB2312" w:hAnsi="仿宋_GB2312" w:cs="仿宋_GB2312" w:hint="eastAsia"/>
          <w:sz w:val="24"/>
          <w:szCs w:val="24"/>
        </w:rPr>
        <w:t>焦炭伟天</w:t>
      </w:r>
      <w:r>
        <w:rPr>
          <w:rFonts w:ascii="仿宋_GB2312" w:eastAsia="仿宋_GB2312" w:hint="eastAsia"/>
          <w:sz w:val="24"/>
        </w:rPr>
        <w:t>收于1154元/吨，较上周下跌0.09%，交易量与订货量稳定。</w:t>
      </w:r>
    </w:p>
    <w:p w:rsidR="00481009" w:rsidRDefault="00481009" w:rsidP="00481009">
      <w:pPr>
        <w:tabs>
          <w:tab w:val="left" w:pos="7088"/>
        </w:tabs>
        <w:spacing w:line="360" w:lineRule="auto"/>
        <w:ind w:firstLine="480"/>
        <w:rPr>
          <w:rFonts w:ascii="仿宋_GB2312" w:eastAsia="仿宋_GB2312"/>
          <w:sz w:val="24"/>
        </w:rPr>
      </w:pPr>
      <w:r>
        <w:rPr>
          <w:rFonts w:ascii="仿宋_GB2312" w:eastAsia="仿宋_GB2312" w:hint="eastAsia"/>
          <w:sz w:val="24"/>
        </w:rPr>
        <w:t>统计数据显示，申银万国行业分类中煤炭开采业的31家上市公司中，今年上半年资产负债率同比有所攀升的有22家，占比约71%，同比有所下降的只有9家。其中资产负债率超过70%的有6家，占比接近20%。中国煤炭工业协会副会长路耀华曾向媒体表示，目前煤炭企业经营面临的困难较大，短期内供大于求问题突出。煤企的利润下降，大型企业平均负债率为66.96%，一旦超过70%就很危险，经营风险将大增。煤炭专家李朝林在接受《证券日报》记者采访时则称，今年以来，煤炭行业上市公司的资产负债率提高，主要是因为煤炭价格不断走低，煤炭业市场环境比较恶劣，煤炭企业的盈利能力大幅下降。对于很多煤炭企业来讲，几乎没有盈利空间，此时，企业的资产负债率必然会有所攀升。近日，中国煤炭工业协会发布《2014中国煤炭企业100家分析报告》显示，2013年，中国前百家煤炭企业净利润总额841.57亿元(下同)，同比大降44.18%。其中，21家企业出现亏损，77家净利润同比下降。去年全年，前百家煤炭企业完成煤炭产量30.05亿吨，增速由“十一五”以来年均增长13.72%下降到5.47%，创下“十一五”以来的最低水平。同时，百家企业资产负债率达67.59%，比上年提高1.97个百分点，企业财务风险持续增加。李朝林认为，企业财务风险是否会因为资产负债率的攀升而加大，主要看资产负债率与企业的盈利水平是否相称，如果利润比较高，资产负债率高一点也没关系，盈利可以覆盖相应的债务、财务成本；但如果本身利润水平就很低，甚至是亏损，那么资产负债率提高后，财务风险就凸显出来了。另有业内专家分析认为，目前煤炭企业发展所面临的困难和矛盾有很多，如煤炭结构性过剩态势加剧，去产能任务艰巨；盈利能力大幅下滑，亏损面继续加大；转变经济发展方式进展较慢，资本经营效率不高等，严重制约了企业的发展。</w:t>
      </w:r>
    </w:p>
    <w:p w:rsidR="00481009" w:rsidRDefault="00481009" w:rsidP="00481009">
      <w:pPr>
        <w:tabs>
          <w:tab w:val="left" w:pos="7088"/>
        </w:tabs>
        <w:spacing w:line="360" w:lineRule="auto"/>
        <w:ind w:firstLine="480"/>
        <w:rPr>
          <w:rFonts w:ascii="仿宋_GB2312" w:eastAsia="仿宋_GB2312"/>
          <w:sz w:val="24"/>
        </w:rPr>
      </w:pPr>
      <w:r>
        <w:rPr>
          <w:rFonts w:ascii="仿宋_GB2312" w:eastAsia="仿宋_GB2312" w:hint="eastAsia"/>
          <w:sz w:val="24"/>
        </w:rPr>
        <w:t>周五，渤商所</w:t>
      </w:r>
      <w:r>
        <w:rPr>
          <w:rFonts w:ascii="仿宋_GB2312" w:eastAsia="仿宋_GB2312" w:hAnsi="仿宋_GB2312" w:cs="仿宋_GB2312" w:hint="eastAsia"/>
          <w:sz w:val="24"/>
          <w:szCs w:val="24"/>
        </w:rPr>
        <w:t>焦炭（伟天）</w:t>
      </w:r>
      <w:r>
        <w:rPr>
          <w:rFonts w:ascii="仿宋_GB2312" w:eastAsia="仿宋_GB2312" w:hint="eastAsia"/>
          <w:sz w:val="24"/>
        </w:rPr>
        <w:t>价格比传统现货价格高，</w:t>
      </w:r>
      <w:r>
        <w:rPr>
          <w:rFonts w:ascii="仿宋_GB2312" w:eastAsia="仿宋_GB2312" w:hAnsi="仿宋_GB2312" w:cs="仿宋_GB2312" w:hint="eastAsia"/>
          <w:color w:val="000000"/>
          <w:sz w:val="24"/>
          <w:szCs w:val="24"/>
          <w:shd w:val="clear" w:color="auto" w:fill="F6F7F9"/>
        </w:rPr>
        <w:t>国内</w:t>
      </w:r>
      <w:hyperlink r:id="rId9" w:history="1">
        <w:r>
          <w:rPr>
            <w:rStyle w:val="a6"/>
            <w:rFonts w:ascii="仿宋_GB2312" w:eastAsia="仿宋_GB2312" w:hAnsi="仿宋_GB2312" w:cs="仿宋_GB2312" w:hint="eastAsia"/>
            <w:sz w:val="24"/>
            <w:szCs w:val="24"/>
            <w:shd w:val="clear" w:color="auto" w:fill="F6F7F9"/>
          </w:rPr>
          <w:t>焦炭</w:t>
        </w:r>
      </w:hyperlink>
      <w:r>
        <w:rPr>
          <w:rFonts w:ascii="仿宋_GB2312" w:eastAsia="仿宋_GB2312" w:hAnsi="仿宋_GB2312" w:cs="仿宋_GB2312" w:hint="eastAsia"/>
          <w:color w:val="000000"/>
          <w:sz w:val="24"/>
          <w:szCs w:val="24"/>
          <w:shd w:val="clear" w:color="auto" w:fill="F6F7F9"/>
        </w:rPr>
        <w:t>市场震荡，</w:t>
      </w:r>
      <w:r>
        <w:rPr>
          <w:rFonts w:ascii="仿宋_GB2312" w:eastAsia="仿宋_GB2312" w:hAnsi="仿宋_GB2312" w:cs="仿宋_GB2312" w:hint="eastAsia"/>
          <w:sz w:val="24"/>
        </w:rPr>
        <w:t>焦化企业可根据最近市场行情逢高卖出，锁定利润</w:t>
      </w:r>
      <w:r>
        <w:rPr>
          <w:rFonts w:ascii="仿宋_GB2312" w:eastAsia="仿宋_GB2312" w:hint="eastAsia"/>
          <w:sz w:val="24"/>
        </w:rPr>
        <w:t>。投资者可关注大商所与渤商所</w:t>
      </w:r>
      <w:r>
        <w:rPr>
          <w:rFonts w:ascii="仿宋_GB2312" w:eastAsia="仿宋_GB2312" w:hAnsi="仿宋_GB2312" w:cs="仿宋_GB2312" w:hint="eastAsia"/>
          <w:sz w:val="24"/>
          <w:szCs w:val="24"/>
        </w:rPr>
        <w:t>焦炭伟天</w:t>
      </w:r>
      <w:r>
        <w:rPr>
          <w:rFonts w:ascii="仿宋_GB2312" w:eastAsia="仿宋_GB2312" w:hint="eastAsia"/>
          <w:sz w:val="24"/>
        </w:rPr>
        <w:t>价差，寻找跨市套利机会。个人投资者顺势而为，及时止盈止损。</w:t>
      </w:r>
    </w:p>
    <w:p w:rsidR="00481009" w:rsidRDefault="00481009" w:rsidP="00481009">
      <w:pPr>
        <w:pStyle w:val="a7"/>
        <w:shd w:val="clear" w:color="auto" w:fill="FFFFFF"/>
        <w:spacing w:before="0" w:beforeAutospacing="0" w:after="0" w:afterAutospacing="0" w:line="360" w:lineRule="auto"/>
        <w:ind w:firstLineChars="177" w:firstLine="425"/>
        <w:jc w:val="both"/>
        <w:rPr>
          <w:rFonts w:ascii="仿宋" w:eastAsia="仿宋" w:hAnsi="仿宋"/>
          <w:color w:val="000000"/>
        </w:rPr>
      </w:pPr>
    </w:p>
    <w:p w:rsidR="00550D36" w:rsidRDefault="00550D36">
      <w:pPr>
        <w:widowControl/>
        <w:jc w:val="left"/>
        <w:rPr>
          <w:rFonts w:hAnsi="仿宋_GB2312"/>
          <w:b/>
          <w:bCs/>
          <w:sz w:val="36"/>
          <w:szCs w:val="36"/>
        </w:rPr>
      </w:pPr>
      <w:r>
        <w:rPr>
          <w:rFonts w:hAnsi="仿宋_GB2312"/>
          <w:b/>
          <w:bCs/>
          <w:sz w:val="36"/>
          <w:szCs w:val="36"/>
        </w:rPr>
        <w:br w:type="page"/>
      </w:r>
    </w:p>
    <w:p w:rsidR="00E04A6F" w:rsidRDefault="00E04A6F">
      <w:pPr>
        <w:widowControl/>
        <w:jc w:val="left"/>
        <w:rPr>
          <w:rFonts w:hAnsi="仿宋_GB2312"/>
          <w:b/>
          <w:bCs/>
          <w:sz w:val="36"/>
          <w:szCs w:val="36"/>
        </w:rPr>
      </w:pPr>
      <w:r w:rsidRPr="00C03326">
        <w:rPr>
          <w:rFonts w:hAnsi="仿宋_GB2312"/>
          <w:b/>
          <w:bCs/>
          <w:sz w:val="36"/>
          <w:szCs w:val="36"/>
        </w:rPr>
        <w:lastRenderedPageBreak/>
        <w:t>【农林产品板块】</w:t>
      </w:r>
    </w:p>
    <w:p w:rsidR="007757AA" w:rsidRDefault="007757AA" w:rsidP="007757AA">
      <w:pPr>
        <w:spacing w:line="360" w:lineRule="auto"/>
        <w:rPr>
          <w:rFonts w:ascii="宋体" w:hAnsi="宋体" w:cs="宋体"/>
          <w:color w:val="2D374B"/>
          <w:spacing w:val="15"/>
          <w:szCs w:val="21"/>
        </w:rPr>
      </w:pPr>
      <w:bookmarkStart w:id="0" w:name="_Hlk384047754"/>
      <w:r>
        <w:rPr>
          <w:rFonts w:ascii="仿宋_GB2312" w:eastAsia="仿宋_GB2312" w:hint="eastAsia"/>
          <w:b/>
          <w:sz w:val="24"/>
        </w:rPr>
        <w:t>黑木耳:大幅下跌</w:t>
      </w:r>
    </w:p>
    <w:p w:rsidR="007757AA" w:rsidRDefault="007757AA" w:rsidP="007757AA">
      <w:pPr>
        <w:spacing w:line="360" w:lineRule="auto"/>
        <w:ind w:firstLineChars="200" w:firstLine="480"/>
        <w:rPr>
          <w:rFonts w:ascii="仿宋_GB2312" w:eastAsia="仿宋_GB2312" w:hAnsi="宋体" w:hint="eastAsia"/>
          <w:color w:val="000000"/>
          <w:sz w:val="24"/>
          <w:szCs w:val="24"/>
        </w:rPr>
      </w:pPr>
      <w:r>
        <w:rPr>
          <w:rFonts w:ascii="仿宋_GB2312" w:eastAsia="仿宋_GB2312" w:hint="eastAsia"/>
          <w:sz w:val="24"/>
          <w:szCs w:val="24"/>
        </w:rPr>
        <w:t>本周渤商所黑木耳价格大幅下跌，本周连续三个跌停板，本周渤海商品交易所黑木耳尾盘收于51元/公斤，</w:t>
      </w:r>
      <w:r>
        <w:rPr>
          <w:rFonts w:ascii="仿宋_GB2312" w:eastAsia="仿宋_GB2312" w:hAnsi="宋体" w:hint="eastAsia"/>
          <w:color w:val="000000"/>
          <w:sz w:val="24"/>
          <w:szCs w:val="24"/>
        </w:rPr>
        <w:t>较上周下跌8元/公斤。本周黑木耳交收申报情况如下，买方申报交收1155公斤,卖方申报交收1500公斤，交收配对成功1125公斤，成交量20336870公斤，成交金额1090144896元，订货量18366600公斤。</w:t>
      </w:r>
    </w:p>
    <w:p w:rsidR="007757AA" w:rsidRDefault="007757AA" w:rsidP="007757AA">
      <w:pPr>
        <w:spacing w:line="360" w:lineRule="auto"/>
        <w:ind w:firstLineChars="200" w:firstLine="480"/>
        <w:rPr>
          <w:rFonts w:ascii="仿宋_GB2312" w:eastAsia="仿宋_GB2312" w:hAnsi="宋体" w:hint="eastAsia"/>
          <w:color w:val="000000"/>
          <w:sz w:val="24"/>
          <w:szCs w:val="24"/>
        </w:rPr>
      </w:pPr>
      <w:r>
        <w:rPr>
          <w:rFonts w:ascii="仿宋_GB2312" w:eastAsia="仿宋_GB2312" w:hAnsi="宋体" w:hint="eastAsia"/>
          <w:color w:val="000000"/>
          <w:sz w:val="24"/>
          <w:szCs w:val="24"/>
        </w:rPr>
        <w:t>本周传统市场上黑木耳价格趋于稳定，我国南方，一般可进行春秋两季栽培。春季栽培2-3月制袋接种，4-5月出耳;秋季栽培8-9月制袋接种，10-11月出耳。9月份处于南方主产区黑木耳生产淡季，库存销售为主，由于今年整体库存偏多，南方市场库存木耳数量依旧庞大。</w:t>
      </w:r>
    </w:p>
    <w:p w:rsidR="007757AA" w:rsidRDefault="007757AA" w:rsidP="007757AA">
      <w:pPr>
        <w:spacing w:line="360" w:lineRule="auto"/>
        <w:ind w:firstLineChars="200" w:firstLine="480"/>
        <w:rPr>
          <w:rFonts w:ascii="仿宋_GB2312" w:eastAsia="仿宋_GB2312" w:hAnsi="宋体" w:hint="eastAsia"/>
          <w:color w:val="000000"/>
          <w:sz w:val="24"/>
          <w:szCs w:val="24"/>
        </w:rPr>
      </w:pPr>
      <w:r>
        <w:rPr>
          <w:rFonts w:ascii="仿宋_GB2312" w:eastAsia="仿宋_GB2312" w:hAnsi="宋体" w:hint="eastAsia"/>
          <w:color w:val="000000"/>
          <w:sz w:val="24"/>
          <w:szCs w:val="24"/>
        </w:rPr>
        <w:t>东北按采摘时节分有春耳、伏耳、秋耳三种木耳。七月之前采摘的木耳为春耳，伏耳为七、八两个月份采摘的木耳，由于七八月是东北的雨季，所以木耳经常被雨淋，容易发生腐烂，生虫，是木耳里的下等品。秋耳是在立秋以后初雪之前生长，温度低，昼夜温差大，生长期较长，积累的营养分丰富比较充分，所以耳片比较厚，颜色比较深，朵形略小于春耳,但口感肉厚筋道。每年只能采摘一次，秋耳属三种木耳中的最好的木耳，秋耳因其品质较好，在市场上供不应求。目前正是东北秋耳采摘阶段，秋耳以其独特的品质吸引很多采购商，秋耳走货较快，其他黑木耳走货缓慢，整体上看，由于今年南方库存黑木耳较多还未消耗完毕，北方市场南方客商减少，除了秋耳其他黑木耳普遍走货较慢。</w:t>
      </w:r>
    </w:p>
    <w:p w:rsidR="007757AA" w:rsidRDefault="007757AA" w:rsidP="007757AA">
      <w:pPr>
        <w:spacing w:line="360" w:lineRule="auto"/>
        <w:ind w:firstLineChars="200" w:firstLine="480"/>
        <w:rPr>
          <w:rFonts w:ascii="仿宋_GB2312" w:eastAsia="仿宋_GB2312" w:hAnsi="宋体" w:hint="eastAsia"/>
          <w:color w:val="000000"/>
          <w:sz w:val="24"/>
          <w:szCs w:val="24"/>
        </w:rPr>
      </w:pPr>
      <w:r>
        <w:rPr>
          <w:rFonts w:ascii="仿宋_GB2312" w:eastAsia="仿宋_GB2312" w:hAnsi="宋体" w:hint="eastAsia"/>
          <w:color w:val="000000"/>
          <w:sz w:val="24"/>
          <w:szCs w:val="24"/>
        </w:rPr>
        <w:t>本周由于开学季的到来和中秋营销旺季到来，黑木耳市场需求量提升，走货速度和走货量较上周加快，整体市场价格依旧稳定。</w:t>
      </w:r>
    </w:p>
    <w:p w:rsidR="007757AA" w:rsidRDefault="007757AA" w:rsidP="007757AA">
      <w:pPr>
        <w:spacing w:line="360" w:lineRule="auto"/>
        <w:ind w:firstLineChars="200" w:firstLine="480"/>
        <w:rPr>
          <w:rFonts w:ascii="仿宋_GB2312" w:eastAsia="仿宋_GB2312" w:hAnsi="宋体" w:hint="eastAsia"/>
          <w:color w:val="000000"/>
          <w:sz w:val="24"/>
          <w:szCs w:val="24"/>
        </w:rPr>
      </w:pPr>
      <w:r>
        <w:rPr>
          <w:rFonts w:ascii="仿宋_GB2312" w:eastAsia="仿宋_GB2312" w:hAnsi="宋体" w:hint="eastAsia"/>
          <w:color w:val="000000"/>
          <w:sz w:val="24"/>
          <w:szCs w:val="24"/>
        </w:rPr>
        <w:t>渤商所黑木耳价格本周大幅下跌，建议交易商密切关注国内黑木耳相关信息，比较价格差距，提前订立合同，锁定商品价格。</w:t>
      </w:r>
    </w:p>
    <w:p w:rsidR="007757AA" w:rsidRDefault="007757AA" w:rsidP="007757AA">
      <w:pPr>
        <w:spacing w:line="360" w:lineRule="auto"/>
        <w:jc w:val="left"/>
        <w:rPr>
          <w:rFonts w:ascii="仿宋_GB2312" w:eastAsia="仿宋_GB2312" w:hAnsi="Calibri" w:hint="eastAsia"/>
          <w:b/>
          <w:sz w:val="24"/>
          <w:szCs w:val="22"/>
        </w:rPr>
      </w:pPr>
      <w:r>
        <w:rPr>
          <w:rFonts w:ascii="仿宋_GB2312" w:eastAsia="仿宋_GB2312" w:hint="eastAsia"/>
          <w:b/>
          <w:sz w:val="24"/>
        </w:rPr>
        <w:t>香菇：大幅上涨</w:t>
      </w:r>
    </w:p>
    <w:p w:rsidR="007757AA" w:rsidRDefault="007757AA" w:rsidP="007757AA">
      <w:pPr>
        <w:spacing w:line="360" w:lineRule="auto"/>
        <w:ind w:firstLineChars="200" w:firstLine="480"/>
        <w:rPr>
          <w:rFonts w:ascii="仿宋_GB2312" w:eastAsia="仿宋_GB2312" w:hAnsi="宋体" w:hint="eastAsia"/>
          <w:color w:val="000000"/>
          <w:sz w:val="24"/>
        </w:rPr>
      </w:pPr>
      <w:r>
        <w:rPr>
          <w:rFonts w:ascii="仿宋_GB2312" w:eastAsia="仿宋_GB2312" w:hint="eastAsia"/>
          <w:sz w:val="24"/>
        </w:rPr>
        <w:t>本周渤商所香菇价格大幅上涨，周五渤海商品交易所香菇尾盘收于104.1元/公斤，</w:t>
      </w:r>
      <w:r>
        <w:rPr>
          <w:rFonts w:ascii="仿宋_GB2312" w:eastAsia="仿宋_GB2312" w:hAnsi="宋体" w:hint="eastAsia"/>
          <w:color w:val="000000"/>
          <w:sz w:val="24"/>
        </w:rPr>
        <w:t>较上周上涨6.54元/公斤。截至周五本周香菇交收申报情况如下，买方申报交收5365公斤,卖方申报交收5000公斤，交收配对成功5000公斤。成交量25768510公斤，成交金额2654735584元，订货量18934900公斤。</w:t>
      </w:r>
    </w:p>
    <w:p w:rsidR="007757AA" w:rsidRDefault="007757AA" w:rsidP="007757AA">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本周传统市场上香菇价格稳中有升。9月初，香菇依旧处于采收淡季和销售</w:t>
      </w:r>
      <w:r>
        <w:rPr>
          <w:rFonts w:ascii="仿宋_GB2312" w:eastAsia="仿宋_GB2312" w:hAnsi="宋体" w:hint="eastAsia"/>
          <w:color w:val="000000"/>
          <w:sz w:val="24"/>
        </w:rPr>
        <w:lastRenderedPageBreak/>
        <w:t>淡季，市场库存销售为主，由于今年香菇整体库存较去年少，随着淡季时间推移，香菇库存量逐渐减少，尤其质量较好的二级厚菇市场货源较稀缺。同时随着库存香菇存放需要仓库具备适宜的温度、干湿度等条件，仓库具备的条件高，随着存放时间加长，贸易商和销售企业香菇贸易成本提升，在新菇上市之前，香菇价格稳中有升。近期北方市场以及南方部分地区有反季节香菇上市，由于反季节香菇整体量偏少，鲜销为主。反季节香菇一定程度上弥补了淡季鲜品市场空缺，同时为菇农增加一笔收入。</w:t>
      </w:r>
    </w:p>
    <w:p w:rsidR="007757AA" w:rsidRDefault="007757AA" w:rsidP="007757AA">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零售市场方面：本周市场销量提升，随着开学季的到来，学生陆陆续续开始上课，学校食堂等香菇需求量增多，中低等香菇销量提升，走货加快，同时近期是中秋节营销旺季，分销商纷纷备货，为中秋送礼做准备，中高档香菇走量较好。整体上看，随着开学季和中秋节的到来，香菇市场需求量提升，走货加快，销量好，市场价格稳中有升。</w:t>
      </w:r>
    </w:p>
    <w:p w:rsidR="007757AA" w:rsidRDefault="007757AA" w:rsidP="007757AA">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渤商所香菇价格大幅上涨，建议交易商密切关注国内香菇相关信息，根据实际需求，提前订立合同，锁定商品价格。</w:t>
      </w:r>
    </w:p>
    <w:p w:rsidR="007757AA" w:rsidRDefault="007757AA" w:rsidP="007757AA">
      <w:pPr>
        <w:spacing w:line="360" w:lineRule="auto"/>
        <w:rPr>
          <w:rStyle w:val="a8"/>
          <w:rFonts w:hAnsi="Calibri" w:hint="eastAsia"/>
          <w:szCs w:val="21"/>
        </w:rPr>
      </w:pPr>
      <w:r>
        <w:rPr>
          <w:rStyle w:val="a8"/>
          <w:rFonts w:ascii="仿宋_GB2312" w:eastAsia="仿宋_GB2312" w:hint="eastAsia"/>
          <w:color w:val="000000"/>
          <w:sz w:val="24"/>
          <w:szCs w:val="21"/>
        </w:rPr>
        <w:t>苹果：持续走高</w:t>
      </w:r>
    </w:p>
    <w:p w:rsidR="007757AA" w:rsidRDefault="007757AA" w:rsidP="007757AA">
      <w:pPr>
        <w:spacing w:line="360" w:lineRule="auto"/>
        <w:ind w:firstLineChars="200" w:firstLine="480"/>
        <w:rPr>
          <w:rFonts w:ascii="Calibri" w:hAnsi="宋体" w:hint="eastAsia"/>
          <w:szCs w:val="24"/>
        </w:rPr>
      </w:pPr>
      <w:r>
        <w:rPr>
          <w:rFonts w:ascii="仿宋_GB2312" w:eastAsia="仿宋_GB2312" w:hAnsi="宋体" w:hint="eastAsia"/>
          <w:color w:val="000000"/>
          <w:sz w:val="24"/>
          <w:szCs w:val="24"/>
        </w:rPr>
        <w:t>周五渤海商品交易所烟台苹果尾盘收于10.12元/公斤，较上周涨跌幅度0.82元/公斤。红富士苹果进入快速销货期，价格基本保持平稳涨势。由于各主产区苹果的上货量急剧减少，市场交易情况也是日趋减弱，交易量总体上呈现增多的态势。</w:t>
      </w:r>
    </w:p>
    <w:p w:rsidR="007757AA" w:rsidRDefault="007757AA" w:rsidP="007757AA">
      <w:pPr>
        <w:spacing w:line="360"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本周山东地区苹果价格基本上保持平稳增长态势，红富士苹果出库价格仍然居高不下，市场交易总量持续攀高。山西、陕西地区相对于山东地区的交易情况要差一些，上货量较之山东较少，交易量也与山东的地区有一定的差距。其它产区像河南、河北、甘肃等地区基本上已经清库红富士苹果的交易已经结束。冷库中红富士苹果的价格还是居高不下，究其原因主要有以下几个方面：（1）红富士苹果入库的价格较高，加之冷库储藏的费用，价格自然水涨船高，否则不但不能保本还得赔钱。（2）红富士苹果的量逐渐减少，一些果商认为这是抬高价格的好时机，因此部分市场价格有所上涨。（3）现在的价格达不到果商的预期，惜售心理较为强烈，因此价格较高。</w:t>
      </w:r>
      <w:bookmarkEnd w:id="0"/>
    </w:p>
    <w:p w:rsidR="00BA6662" w:rsidRPr="002E0C0E" w:rsidRDefault="00BA6662" w:rsidP="00AF4BB5">
      <w:pPr>
        <w:rPr>
          <w:rFonts w:ascii="Calibri" w:hAnsi="Calibri"/>
        </w:rPr>
      </w:pPr>
      <w:bookmarkStart w:id="1" w:name="_GoBack"/>
      <w:bookmarkEnd w:id="1"/>
    </w:p>
    <w:p w:rsidR="00E04A6F" w:rsidRDefault="00E04A6F">
      <w:pPr>
        <w:widowControl/>
        <w:jc w:val="left"/>
        <w:rPr>
          <w:rFonts w:hAnsi="仿宋_GB2312"/>
          <w:b/>
          <w:bCs/>
          <w:sz w:val="36"/>
          <w:szCs w:val="36"/>
        </w:rPr>
      </w:pPr>
      <w:r>
        <w:rPr>
          <w:rFonts w:hAnsi="仿宋_GB2312"/>
          <w:b/>
          <w:bCs/>
          <w:sz w:val="36"/>
          <w:szCs w:val="36"/>
        </w:rPr>
        <w:br w:type="page"/>
      </w:r>
    </w:p>
    <w:p w:rsidR="00B1138E" w:rsidRDefault="00B1138E" w:rsidP="00B1138E">
      <w:pPr>
        <w:spacing w:beforeLines="100" w:before="312" w:line="360" w:lineRule="auto"/>
        <w:outlineLvl w:val="0"/>
        <w:rPr>
          <w:rFonts w:hAnsi="仿宋_GB2312"/>
          <w:b/>
          <w:bCs/>
          <w:sz w:val="36"/>
          <w:szCs w:val="36"/>
        </w:rPr>
      </w:pPr>
      <w:r>
        <w:rPr>
          <w:rFonts w:hAnsi="仿宋_GB2312" w:hint="eastAsia"/>
          <w:b/>
          <w:bCs/>
          <w:sz w:val="36"/>
          <w:szCs w:val="36"/>
        </w:rPr>
        <w:lastRenderedPageBreak/>
        <w:t>【石油化工板块】</w:t>
      </w:r>
    </w:p>
    <w:p w:rsidR="00B1138E" w:rsidRDefault="00B1138E" w:rsidP="00B1138E">
      <w:pPr>
        <w:spacing w:beforeLines="50" w:before="156" w:line="360" w:lineRule="auto"/>
        <w:jc w:val="center"/>
        <w:rPr>
          <w:rFonts w:ascii="仿宋_GB2312" w:eastAsia="仿宋_GB2312"/>
          <w:b/>
          <w:sz w:val="28"/>
          <w:szCs w:val="24"/>
        </w:rPr>
      </w:pPr>
      <w:r>
        <w:rPr>
          <w:rFonts w:ascii="仿宋_GB2312" w:eastAsia="仿宋_GB2312" w:hint="eastAsia"/>
          <w:b/>
          <w:sz w:val="28"/>
          <w:szCs w:val="24"/>
        </w:rPr>
        <w:t>平板玻璃（沙河）BFGSH：震荡上行，利好支撑</w:t>
      </w:r>
    </w:p>
    <w:p w:rsidR="00B1138E" w:rsidRDefault="00B1138E" w:rsidP="00B1138E">
      <w:pPr>
        <w:spacing w:line="360" w:lineRule="auto"/>
        <w:ind w:firstLineChars="200" w:firstLine="480"/>
        <w:outlineLvl w:val="0"/>
        <w:rPr>
          <w:rFonts w:ascii="仿宋_GB2312" w:eastAsia="仿宋_GB2312"/>
          <w:sz w:val="24"/>
          <w:szCs w:val="24"/>
        </w:rPr>
      </w:pPr>
      <w:r>
        <w:rPr>
          <w:rFonts w:ascii="仿宋_GB2312" w:eastAsia="仿宋_GB2312" w:hint="eastAsia"/>
          <w:sz w:val="24"/>
        </w:rPr>
        <w:t>本周渤商所平板玻璃（沙河）BFGSH震荡上行，基本面利好支撑。报价于周初的777元/吨，最高为843元/吨，最低777元/吨，周五尾盘收于841元/吨，周涨55元/吨，涨跌幅6.99%，结算价809元/吨。</w:t>
      </w:r>
    </w:p>
    <w:p w:rsidR="00B1138E" w:rsidRDefault="00B1138E" w:rsidP="00B1138E">
      <w:pPr>
        <w:spacing w:line="360" w:lineRule="auto"/>
        <w:ind w:firstLineChars="200" w:firstLine="480"/>
        <w:outlineLvl w:val="0"/>
        <w:rPr>
          <w:rFonts w:ascii="仿宋_GB2312" w:eastAsia="仿宋_GB2312"/>
          <w:sz w:val="24"/>
        </w:rPr>
      </w:pPr>
      <w:r>
        <w:rPr>
          <w:rFonts w:ascii="仿宋_GB2312" w:eastAsia="仿宋_GB2312" w:hint="eastAsia"/>
          <w:sz w:val="24"/>
        </w:rPr>
        <w:t xml:space="preserve"> 本周浮法玻璃市场上行走势强劲。华北沙河市场价格基本维持每日一涨，截至今日薄板价格累计调涨4-5元/重量箱，厚板价格累计调涨3元/重量箱，京津唐市场各生产企业价格上调2次，累计2-4元/重量箱，目前市场交投气氛良好，厂家库存减少明显。华东市场19日行业会议召开前后，多数生产企业价格上调2元/重量箱左右，出货较前期好转。华中地区周初多数厂家涨1元/重量箱，市场成交良好，企业销大于产。华南市场多数厂家陆续调涨1-2元/重量箱，出货良好，整体库存较前期减少。西北市场成交好转，在周边市场涨价氛围下，少数企业上调1元/重量箱。西南市场成都南玻二线放水后，市场成交好转，成都明达薄板涨0.5元/平方米，厚板涨1元/平方米。东北市场受华北调涨及天然气涨价影响，在营口信义带领下，价格上调1-4元/重量箱，走货略有好转，库存仍偏高。</w:t>
      </w:r>
    </w:p>
    <w:p w:rsidR="00B1138E" w:rsidRDefault="00B1138E" w:rsidP="00B1138E">
      <w:pPr>
        <w:spacing w:line="360" w:lineRule="auto"/>
        <w:ind w:firstLineChars="200" w:firstLine="480"/>
        <w:outlineLvl w:val="0"/>
        <w:rPr>
          <w:rFonts w:ascii="仿宋_GB2312" w:eastAsia="仿宋_GB2312"/>
          <w:sz w:val="24"/>
        </w:rPr>
      </w:pPr>
      <w:r>
        <w:rPr>
          <w:rFonts w:ascii="仿宋_GB2312" w:eastAsia="仿宋_GB2312" w:hint="eastAsia"/>
          <w:sz w:val="24"/>
        </w:rPr>
        <w:t>本周平板玻璃（沙河）震荡上行，上涨79点，基本面有所好转和成本支撑，预计反弹或继续。本周渤商所BFGSH平均含税947元/吨，传统现货华北（沙河）市场平均价格975元/吨，本周现货市场交投向好，生产企业价格稳中一再上涨，走货良好，库存低位。采购商可在渤商所低价位买入订立合约，当日申报交收，锁定成本。</w:t>
      </w:r>
    </w:p>
    <w:p w:rsidR="00B1138E" w:rsidRDefault="00B1138E" w:rsidP="00B1138E">
      <w:pPr>
        <w:spacing w:beforeLines="50" w:before="156" w:line="360" w:lineRule="auto"/>
        <w:jc w:val="center"/>
        <w:rPr>
          <w:rFonts w:ascii="仿宋_GB2312" w:eastAsia="仿宋_GB2312"/>
          <w:b/>
          <w:sz w:val="28"/>
          <w:szCs w:val="24"/>
        </w:rPr>
      </w:pPr>
      <w:r>
        <w:rPr>
          <w:rFonts w:ascii="仿宋_GB2312" w:eastAsia="仿宋_GB2312" w:hint="eastAsia"/>
          <w:b/>
          <w:sz w:val="28"/>
          <w:szCs w:val="24"/>
        </w:rPr>
        <w:t>润滑油基础油恩格</w:t>
      </w:r>
    </w:p>
    <w:p w:rsidR="00B1138E" w:rsidRDefault="00B1138E" w:rsidP="00B1138E">
      <w:pPr>
        <w:pStyle w:val="a5"/>
        <w:spacing w:line="360" w:lineRule="auto"/>
        <w:ind w:firstLineChars="100" w:firstLine="240"/>
        <w:rPr>
          <w:rFonts w:ascii="仿宋_GB2312" w:eastAsia="仿宋_GB2312"/>
          <w:sz w:val="24"/>
          <w:szCs w:val="24"/>
        </w:rPr>
      </w:pPr>
      <w:r>
        <w:rPr>
          <w:rFonts w:ascii="仿宋_GB2312" w:eastAsia="仿宋_GB2312" w:hint="eastAsia"/>
          <w:sz w:val="24"/>
          <w:szCs w:val="24"/>
        </w:rPr>
        <w:t>本周润滑油基础油恩格开盘价8.38元/公斤、最高价8.87元/公斤、最低价7.27元/公斤、收盘价7.71元/公斤。</w:t>
      </w:r>
    </w:p>
    <w:p w:rsidR="00B1138E" w:rsidRDefault="00B1138E" w:rsidP="00B1138E">
      <w:pPr>
        <w:spacing w:line="360" w:lineRule="auto"/>
        <w:ind w:firstLineChars="100" w:firstLine="240"/>
        <w:rPr>
          <w:rFonts w:ascii="仿宋_GB2312" w:eastAsia="仿宋_GB2312"/>
          <w:sz w:val="24"/>
          <w:szCs w:val="24"/>
        </w:rPr>
      </w:pPr>
      <w:r>
        <w:rPr>
          <w:rFonts w:ascii="仿宋_GB2312" w:eastAsia="仿宋_GB2312" w:hint="eastAsia"/>
          <w:sz w:val="24"/>
          <w:szCs w:val="24"/>
        </w:rPr>
        <w:t>国际原油：油价延续震荡走势，汽柴调价幅度预期缩小，不过汽柴下调已成定局，基础油市场看跌气氛不断升温，市场交投陷入沉寂。目前炼厂生产成本压力虽然缓和，但整体开工率依然不高，个别减线油炼厂因原料紧缺，目前供应面表现并不平静，部分商家提前消化汽柴下调预期。</w:t>
      </w:r>
    </w:p>
    <w:p w:rsidR="00B1138E" w:rsidRDefault="00B1138E" w:rsidP="00B1138E">
      <w:pPr>
        <w:spacing w:line="360" w:lineRule="auto"/>
        <w:ind w:firstLineChars="100" w:firstLine="240"/>
        <w:rPr>
          <w:rFonts w:ascii="仿宋_GB2312" w:eastAsia="仿宋_GB2312"/>
          <w:sz w:val="24"/>
          <w:szCs w:val="24"/>
        </w:rPr>
      </w:pPr>
      <w:r>
        <w:rPr>
          <w:rFonts w:ascii="仿宋_GB2312" w:eastAsia="仿宋_GB2312" w:hint="eastAsia"/>
          <w:sz w:val="24"/>
          <w:szCs w:val="24"/>
        </w:rPr>
        <w:lastRenderedPageBreak/>
        <w:t>现货润滑油基础油：国内现货市场，出货情况平淡，且部分商家仍面临库存升温的危机，市场多数维持持稳报价、让利促销的模式出货，但个别二类炼厂价格仍出现100元/吨左右下调。贸易商仍以消化库存为主。终端需求延续低迷表现，下游调和企业生产积极性不高，部分企业处于半停工状态，等待需求好转。因市场看跌气氛浓厚，调和企业多暂停采购补仓意向，消化前期库存为主，市场交投陷入停滞，商家采购多以按需定进为主，谨慎观望规避市场风险。</w:t>
      </w:r>
    </w:p>
    <w:p w:rsidR="00B1138E" w:rsidRDefault="00B1138E" w:rsidP="00B1138E">
      <w:pPr>
        <w:spacing w:line="360" w:lineRule="auto"/>
        <w:ind w:firstLineChars="100" w:firstLine="240"/>
        <w:rPr>
          <w:rFonts w:ascii="Calibri"/>
          <w:szCs w:val="22"/>
        </w:rPr>
      </w:pPr>
      <w:r>
        <w:rPr>
          <w:rFonts w:ascii="仿宋_GB2312" w:eastAsia="仿宋_GB2312" w:hint="eastAsia"/>
          <w:sz w:val="24"/>
          <w:szCs w:val="24"/>
        </w:rPr>
        <w:t>本周渤商所润滑油基础油恩格基本持小幅上涨，盘面价格低于现货价格1.10元/公斤左右，现货商可根据自身需求在盘面订立B20010合同。</w:t>
      </w:r>
    </w:p>
    <w:p w:rsidR="00B1138E" w:rsidRDefault="00B1138E" w:rsidP="00B1138E">
      <w:pPr>
        <w:spacing w:beforeLines="50" w:before="156" w:line="360" w:lineRule="auto"/>
        <w:jc w:val="center"/>
        <w:rPr>
          <w:rFonts w:ascii="仿宋_GB2312" w:eastAsia="仿宋_GB2312"/>
          <w:b/>
          <w:sz w:val="24"/>
          <w:szCs w:val="24"/>
        </w:rPr>
      </w:pPr>
      <w:r>
        <w:rPr>
          <w:rFonts w:ascii="仿宋_GB2312" w:eastAsia="仿宋_GB2312" w:hint="eastAsia"/>
          <w:b/>
          <w:sz w:val="24"/>
          <w:szCs w:val="24"/>
        </w:rPr>
        <w:t>PTA &amp; MEG &amp; PET：PX重心下跌，利润重心向下游转移</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渤商所PTA&amp;MEG&amp;PET:</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渤商所PTA本周开盘价7150元/吨、最高价7200元/吨、最低价6904元/吨、收盘价6958元/吨、均价6978元/吨。</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渤商所MEG本周开盘价7228元/吨、最高价7289元/吨、最低价7097元/吨、收盘价7100元/吨、均价7114元/吨。</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渤商所PET本周开盘价8450元/吨、最高价8450元/吨、最低价7774元/吨、收盘价8450元/吨、均价7986元/吨。</w:t>
      </w:r>
    </w:p>
    <w:p w:rsidR="00B1138E" w:rsidRDefault="00B1138E" w:rsidP="00B1138E">
      <w:pPr>
        <w:spacing w:line="360" w:lineRule="auto"/>
        <w:ind w:leftChars="50" w:left="105" w:firstLineChars="150" w:firstLine="361"/>
        <w:rPr>
          <w:rFonts w:ascii="仿宋_GB2312" w:eastAsia="仿宋_GB2312"/>
          <w:b/>
          <w:sz w:val="24"/>
          <w:szCs w:val="24"/>
        </w:rPr>
      </w:pPr>
      <w:r>
        <w:rPr>
          <w:rFonts w:ascii="仿宋_GB2312" w:eastAsia="仿宋_GB2312" w:hint="eastAsia"/>
          <w:b/>
          <w:sz w:val="24"/>
          <w:szCs w:val="24"/>
        </w:rPr>
        <w:t>PTA：PX持续走低，PTA行情偏弱。</w:t>
      </w:r>
    </w:p>
    <w:p w:rsidR="00B1138E" w:rsidRDefault="00B1138E" w:rsidP="00B1138E">
      <w:pPr>
        <w:spacing w:line="360" w:lineRule="auto"/>
        <w:ind w:leftChars="50" w:left="105" w:firstLineChars="150" w:firstLine="360"/>
        <w:rPr>
          <w:rFonts w:ascii="仿宋_GB2312" w:eastAsia="仿宋_GB2312"/>
          <w:sz w:val="24"/>
          <w:szCs w:val="24"/>
        </w:rPr>
      </w:pPr>
      <w:r>
        <w:rPr>
          <w:rFonts w:ascii="仿宋_GB2312" w:eastAsia="仿宋_GB2312" w:hint="eastAsia"/>
          <w:sz w:val="24"/>
          <w:szCs w:val="24"/>
        </w:rPr>
        <w:t>本周PTA现货市场行情偏弱下行，但跌幅有所放缓，市场气氛偏淡，华东市场主流平均价从上周五的7095元/吨一路下跌至周四的6950元/吨，PTA价格跌破六时代。</w:t>
      </w:r>
    </w:p>
    <w:p w:rsidR="00B1138E" w:rsidRDefault="00B1138E" w:rsidP="00B1138E">
      <w:pPr>
        <w:spacing w:line="360" w:lineRule="auto"/>
        <w:ind w:leftChars="50" w:left="105" w:firstLineChars="150" w:firstLine="360"/>
        <w:rPr>
          <w:rFonts w:ascii="仿宋_GB2312" w:eastAsia="仿宋_GB2312"/>
          <w:sz w:val="24"/>
          <w:szCs w:val="24"/>
        </w:rPr>
      </w:pPr>
      <w:r>
        <w:rPr>
          <w:rFonts w:ascii="仿宋_GB2312" w:eastAsia="仿宋_GB2312" w:hint="eastAsia"/>
          <w:sz w:val="24"/>
          <w:szCs w:val="24"/>
        </w:rPr>
        <w:t>在此期间，原料PX对PTA乃至整个产业链的影响重大。原料PX方面，一是受到上游原油和石脑油价格下跌的影响，自身成本支撑减弱；二是在PX生产利润尚可的情况下，PX的开工负荷不减反增，造成市场供应增加，而PTA对其消耗却减少，综合影响下，PX价格本周延续下跌态势，但跌幅趋缓，由上周五的1278美元/吨跌至1255美元/吨。原料PX的持续低位运行，对PTA成本支撑作用较弱。</w:t>
      </w:r>
    </w:p>
    <w:p w:rsidR="00B1138E" w:rsidRDefault="00B1138E" w:rsidP="00B1138E">
      <w:pPr>
        <w:spacing w:line="360" w:lineRule="auto"/>
        <w:ind w:leftChars="50" w:left="105" w:firstLineChars="150" w:firstLine="360"/>
        <w:rPr>
          <w:rFonts w:ascii="仿宋_GB2312" w:eastAsia="仿宋_GB2312"/>
          <w:sz w:val="24"/>
          <w:szCs w:val="24"/>
        </w:rPr>
      </w:pPr>
      <w:r>
        <w:rPr>
          <w:rFonts w:ascii="仿宋_GB2312" w:eastAsia="仿宋_GB2312" w:hint="eastAsia"/>
          <w:sz w:val="24"/>
          <w:szCs w:val="24"/>
        </w:rPr>
        <w:t>PTA方面，各大工厂继续采取限产保价的措施，综合开工负荷逐步下调，由上周初的61.3%降至本周四的57.1%。PTA开工负荷低位运行，相对于聚酯的开工情况，市场PTA供应偏紧，对PTA行情仍有一定的支撑作用，但仍不敌产业</w:t>
      </w:r>
      <w:r>
        <w:rPr>
          <w:rFonts w:ascii="仿宋_GB2312" w:eastAsia="仿宋_GB2312" w:hint="eastAsia"/>
          <w:sz w:val="24"/>
          <w:szCs w:val="24"/>
        </w:rPr>
        <w:lastRenderedPageBreak/>
        <w:t>链的疲软。</w:t>
      </w:r>
    </w:p>
    <w:p w:rsidR="00B1138E" w:rsidRDefault="00B1138E" w:rsidP="00B1138E">
      <w:pPr>
        <w:spacing w:line="360" w:lineRule="auto"/>
        <w:ind w:leftChars="50" w:left="105" w:firstLineChars="150" w:firstLine="360"/>
        <w:rPr>
          <w:rFonts w:ascii="仿宋_GB2312" w:eastAsia="仿宋_GB2312"/>
          <w:sz w:val="24"/>
          <w:szCs w:val="24"/>
        </w:rPr>
      </w:pPr>
      <w:r>
        <w:rPr>
          <w:rFonts w:ascii="仿宋_GB2312" w:eastAsia="仿宋_GB2312" w:hint="eastAsia"/>
          <w:sz w:val="24"/>
          <w:szCs w:val="24"/>
        </w:rPr>
        <w:t>下游聚酯方面，本周盘整偏弱运行，开工小幅提升，产销状况良好，基本维持在90%附近。终端织造开工大幅提升，显现回暖迹象，回暖缓慢。</w:t>
      </w:r>
    </w:p>
    <w:p w:rsidR="00B1138E" w:rsidRDefault="00B1138E" w:rsidP="00B1138E">
      <w:pPr>
        <w:spacing w:line="360" w:lineRule="auto"/>
        <w:ind w:leftChars="50" w:left="105" w:firstLineChars="150" w:firstLine="360"/>
        <w:rPr>
          <w:rFonts w:ascii="仿宋_GB2312" w:eastAsia="仿宋_GB2312"/>
          <w:sz w:val="24"/>
          <w:szCs w:val="24"/>
        </w:rPr>
      </w:pPr>
      <w:r>
        <w:rPr>
          <w:rFonts w:ascii="仿宋_GB2312" w:eastAsia="仿宋_GB2312" w:hint="eastAsia"/>
          <w:sz w:val="24"/>
          <w:szCs w:val="24"/>
        </w:rPr>
        <w:t>整体开看，9月来临，市场多预期 9 月份将略好于 8 月份，但聚酯负荷的回升的预期不确定性依然较大，PX 和 PTA持续的回落对于产业链的成本支撑也有所趋弱。故后期应重点关注原料PX的价格变动及下游回暖情况。</w:t>
      </w:r>
    </w:p>
    <w:p w:rsidR="00B1138E" w:rsidRDefault="00B1138E" w:rsidP="00B1138E">
      <w:pPr>
        <w:spacing w:line="360" w:lineRule="auto"/>
        <w:ind w:firstLineChars="200" w:firstLine="482"/>
        <w:rPr>
          <w:rFonts w:ascii="仿宋_GB2312" w:eastAsia="仿宋_GB2312"/>
          <w:sz w:val="24"/>
          <w:szCs w:val="24"/>
        </w:rPr>
      </w:pPr>
      <w:r>
        <w:rPr>
          <w:rFonts w:ascii="仿宋_GB2312" w:eastAsia="仿宋_GB2312" w:hint="eastAsia"/>
          <w:b/>
          <w:sz w:val="24"/>
          <w:szCs w:val="24"/>
        </w:rPr>
        <w:t>MEG：上下游偏弱，MEG一路向下。</w:t>
      </w:r>
      <w:r>
        <w:rPr>
          <w:rFonts w:ascii="仿宋_GB2312" w:eastAsia="仿宋_GB2312" w:hint="eastAsia"/>
          <w:sz w:val="24"/>
          <w:szCs w:val="24"/>
        </w:rPr>
        <w:t>本周MEG现货行情继续下移走势，华东市场主流平均价从上周五的7240元/吨下跌至周四的7140元/吨。原料乙烯方面，受市场需求疲软的影响，乙烯行情继续盘整运行，乙烯东北亚价格稳定至1530美元/吨；近期PTA市场行情表现偏弱，对MEG有一定拖累作用；下游聚酯厂家采购积极性不佳，预计短期内MEG或偏弱为主。</w:t>
      </w:r>
    </w:p>
    <w:p w:rsidR="00B1138E" w:rsidRDefault="00B1138E" w:rsidP="00B1138E">
      <w:pPr>
        <w:spacing w:line="360" w:lineRule="auto"/>
        <w:ind w:firstLineChars="200" w:firstLine="482"/>
        <w:rPr>
          <w:rFonts w:ascii="仿宋_GB2312" w:eastAsia="仿宋_GB2312"/>
          <w:sz w:val="24"/>
          <w:szCs w:val="24"/>
        </w:rPr>
      </w:pPr>
      <w:r>
        <w:rPr>
          <w:rFonts w:ascii="仿宋_GB2312" w:eastAsia="仿宋_GB2312" w:hint="eastAsia"/>
          <w:b/>
          <w:sz w:val="24"/>
          <w:szCs w:val="24"/>
        </w:rPr>
        <w:t>PET：终端织造迹象回暖，PET盘整向上。</w:t>
      </w:r>
      <w:r>
        <w:rPr>
          <w:rFonts w:ascii="仿宋_GB2312" w:eastAsia="仿宋_GB2312" w:hint="eastAsia"/>
          <w:sz w:val="24"/>
          <w:szCs w:val="24"/>
        </w:rPr>
        <w:t>本周聚酯方面盘整偏弱运行。主要受到原料PTA和MEG价格下跌的影响，成本支撑作用减弱，聚酯行业被动降价。具体来看，聚酯切片周四价格下跌225元/吨至8950元/吨，跌破9000大关；聚酯产品涤纶短丝、涤纶长丝也有不同程度的小幅下调。但由于原料PTA和MEG的疲软运行影响较大，本周聚酯利润进一步提升。具体来看，聚酯切片的利润维持在170元/吨左右，涤纶短纤的利润维持在450元/吨左右，涤纶长丝包括POY、DTY、FDY在内的利润整体呈现上升态势，其中POY的生产利润上升至443元/吨，资金效益最好。终端织造方面，本周开工率相对大幅提升，由上周五的67%提升至目前的76%，显现下游回暖态势，并预计下游旺季的来临，但今年的涤丝采购需求较往年采购量和预期量可能要低。由于织造开工的提升，本周聚酯产销略有回升，整体维持在90%附近；并且同时在生产利润的支撑下，聚酯行业开工小幅提升，由69.2%提升至70.8%。下游需求小幅回升，带动聚酯对 PTA 消耗需求增强。</w:t>
      </w:r>
    </w:p>
    <w:p w:rsidR="00B1138E" w:rsidRDefault="00B1138E" w:rsidP="00B1138E">
      <w:pPr>
        <w:spacing w:beforeLines="50" w:before="156" w:line="360" w:lineRule="auto"/>
        <w:ind w:firstLineChars="200" w:firstLine="480"/>
        <w:rPr>
          <w:rFonts w:ascii="仿宋_GB2312" w:eastAsia="仿宋_GB2312"/>
          <w:sz w:val="24"/>
          <w:szCs w:val="24"/>
        </w:rPr>
      </w:pPr>
      <w:r>
        <w:rPr>
          <w:rFonts w:ascii="仿宋_GB2312" w:eastAsia="仿宋_GB2312" w:hint="eastAsia"/>
          <w:sz w:val="24"/>
          <w:szCs w:val="24"/>
        </w:rPr>
        <w:t>本周渤商PTA价格震荡下跌，盘面价格高于现货价格30~70元/吨，在目前国内PTA产能严重过剩的情况下，企业可选择在渤商所订立卖出合同，增加销售渠道；也可选择在渤商所订立买入合同，或随采随用。</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本周渤商MEG前期震荡下跌，盘面价格与现货价格的价差在-30~40元/吨范围之内。在目前MEG下游需求疲弱，MEG销售不畅的情况下，企业可选择在渤商</w:t>
      </w:r>
      <w:r>
        <w:rPr>
          <w:rFonts w:ascii="仿宋_GB2312" w:eastAsia="仿宋_GB2312" w:hint="eastAsia"/>
          <w:sz w:val="24"/>
          <w:szCs w:val="24"/>
        </w:rPr>
        <w:lastRenderedPageBreak/>
        <w:t>所订立卖出合同，增加销售渠道；也可选择在渤商所订立买入合同，或随采随用。</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PET波动较大，渤商所盘面价格与现货价格的价差在-1000~10元/吨左右，价差范围很大。在化纤产业链产能过剩，行情疲软的情况下，企业可根据自身需求在盘面订立合同，增加销售渠道；也可选择在渤商所订立买入合同，或随采随用。</w:t>
      </w:r>
    </w:p>
    <w:p w:rsidR="00B1138E" w:rsidRDefault="00B1138E" w:rsidP="00B1138E">
      <w:pPr>
        <w:spacing w:beforeLines="50" w:before="156" w:line="360" w:lineRule="auto"/>
        <w:jc w:val="center"/>
        <w:outlineLvl w:val="0"/>
        <w:rPr>
          <w:rFonts w:ascii="仿宋_GB2312" w:eastAsia="仿宋_GB2312"/>
          <w:b/>
          <w:sz w:val="28"/>
          <w:szCs w:val="28"/>
        </w:rPr>
      </w:pPr>
      <w:r>
        <w:rPr>
          <w:rFonts w:ascii="仿宋_GB2312" w:eastAsia="仿宋_GB2312" w:hint="eastAsia"/>
          <w:b/>
          <w:sz w:val="28"/>
          <w:szCs w:val="28"/>
        </w:rPr>
        <w:t>ABS（华南）B20012：震荡走低，后期回升</w:t>
      </w:r>
    </w:p>
    <w:p w:rsidR="00B1138E" w:rsidRDefault="00B1138E" w:rsidP="00B1138E">
      <w:pPr>
        <w:spacing w:line="360" w:lineRule="auto"/>
        <w:ind w:firstLineChars="200" w:firstLine="480"/>
        <w:outlineLvl w:val="0"/>
        <w:rPr>
          <w:rFonts w:ascii="仿宋_GB2312" w:eastAsia="仿宋_GB2312"/>
          <w:sz w:val="24"/>
        </w:rPr>
      </w:pPr>
      <w:r>
        <w:rPr>
          <w:rFonts w:ascii="仿宋_GB2312" w:eastAsia="仿宋_GB2312" w:hint="eastAsia"/>
          <w:sz w:val="24"/>
        </w:rPr>
        <w:t>本周渤商所ABS树脂华南震荡下行，周后期略有回升。开盘的14.41元/公斤，最高为14.44元/公斤，最低14.32元/公斤，周五尾盘收于14.40元/公斤，周跌0.01元/吨，涨跌幅-0.07%，结算价14.40元/公斤。</w:t>
      </w:r>
    </w:p>
    <w:p w:rsidR="00B1138E" w:rsidRDefault="00B1138E" w:rsidP="00B1138E">
      <w:pPr>
        <w:pStyle w:val="a7"/>
        <w:spacing w:before="0" w:beforeAutospacing="0" w:after="0" w:afterAutospacing="0" w:line="360" w:lineRule="auto"/>
        <w:ind w:firstLineChars="200" w:firstLine="480"/>
        <w:rPr>
          <w:rFonts w:ascii="仿宋" w:eastAsia="仿宋" w:hAnsi="仿宋"/>
        </w:rPr>
      </w:pPr>
      <w:r>
        <w:rPr>
          <w:rFonts w:ascii="仿宋" w:eastAsia="仿宋" w:hAnsi="仿宋" w:hint="eastAsia"/>
        </w:rPr>
        <w:t>国内市场现货需求未见复苏迹</w:t>
      </w:r>
      <w:r>
        <w:rPr>
          <w:rFonts w:ascii="仿宋_GB2312" w:eastAsia="仿宋_GB2312" w:hint="eastAsia"/>
        </w:rPr>
        <w:t>象以及上游主要原料苯乙烯价格下滑，本周ABS市场部分报盘仍有走低。不少江浙ABS生产商销售政策调整，部分实际出货价格走低，以期加快一手商出货速度。然而买盘对市场看空预期难改，投机需求低迷，现货成交无实质性改善。本周部分中高端报盘小幅下滑，各方心态纠结，部分买家场外观望为主。</w:t>
      </w:r>
      <w:r>
        <w:rPr>
          <w:rFonts w:ascii="仿宋" w:eastAsia="仿宋" w:hAnsi="仿宋" w:hint="eastAsia"/>
        </w:rPr>
        <w:t>东莞ABS市场少数价格略有阴跌，商家让盘幅度有限，实际成交暂时不多，货源供应稳定，临近小长假中小买盘入市偏少。宁波ABS市场价格基本走稳，实盘存小幅商谈空间。中间商库存充裕，近期出货阻力明显，实际小单出货为主，买家入市暂时不多。</w:t>
      </w:r>
    </w:p>
    <w:p w:rsidR="00B1138E" w:rsidRDefault="00B1138E" w:rsidP="00B1138E">
      <w:pPr>
        <w:spacing w:line="360" w:lineRule="auto"/>
        <w:ind w:firstLineChars="200" w:firstLine="480"/>
        <w:outlineLvl w:val="0"/>
        <w:rPr>
          <w:rFonts w:ascii="仿宋_GB2312" w:eastAsia="仿宋_GB2312"/>
          <w:sz w:val="24"/>
        </w:rPr>
      </w:pPr>
      <w:r>
        <w:rPr>
          <w:rFonts w:ascii="仿宋_GB2312" w:eastAsia="仿宋_GB2312" w:hint="eastAsia"/>
          <w:sz w:val="24"/>
        </w:rPr>
        <w:t>截至周四统计数据显示，国产料主流报盘至14000-14950元/吨，部分中高端报盘较上周下跌0.33%，较去年同期低0.20%。少数一手商上月计划量未完成，本月初出货压力增加。为配合商家出货，生产商近期多随行就市操作，以期纾缓各方压力。9月份预期出口需求有回暖迹象，然而近期原料价格下探加之自身订单有限，不少买盘消极避市，原料采购意向低迷。而上游主要原料苯乙烯疲态也令买盘看空或看淡预期难改。需求和原料拖累下，市场压力难解，预计短期ABS市场或维持疲弱态势。</w:t>
      </w:r>
    </w:p>
    <w:p w:rsidR="00B1138E" w:rsidRDefault="00B1138E" w:rsidP="00B1138E">
      <w:pPr>
        <w:spacing w:line="360" w:lineRule="auto"/>
        <w:ind w:firstLineChars="200" w:firstLine="480"/>
        <w:outlineLvl w:val="0"/>
        <w:rPr>
          <w:rFonts w:ascii="仿宋_GB2312" w:eastAsia="仿宋_GB2312"/>
          <w:sz w:val="24"/>
        </w:rPr>
      </w:pPr>
      <w:r>
        <w:rPr>
          <w:rFonts w:ascii="仿宋_GB2312" w:eastAsia="仿宋_GB2312" w:hint="eastAsia"/>
          <w:sz w:val="24"/>
        </w:rPr>
        <w:t>本周渤商所ABS树脂华南平均结算价为14400元/吨，传统东莞现货HI121H平均价格为14710元/吨，757K平均价格为15180元/吨，15A1平均价格为15280元/吨，渤商所周平均价格与以上各品牌价差分别为311元/吨，780元/吨，880</w:t>
      </w:r>
      <w:r>
        <w:rPr>
          <w:rFonts w:ascii="仿宋_GB2312" w:eastAsia="仿宋_GB2312" w:hint="eastAsia"/>
          <w:sz w:val="24"/>
        </w:rPr>
        <w:lastRenderedPageBreak/>
        <w:t>元/吨，存在一定价差。企业可以根据自身情况通过渤商所订立合同随采随用或增加销售渠道及时出货。</w:t>
      </w:r>
    </w:p>
    <w:p w:rsidR="00B1138E" w:rsidRDefault="00B1138E" w:rsidP="00B1138E">
      <w:pPr>
        <w:spacing w:beforeLines="50" w:before="156" w:line="360" w:lineRule="auto"/>
        <w:jc w:val="center"/>
        <w:rPr>
          <w:rFonts w:ascii="仿宋_GB2312" w:eastAsia="仿宋_GB2312"/>
          <w:b/>
          <w:sz w:val="28"/>
          <w:szCs w:val="24"/>
        </w:rPr>
      </w:pPr>
      <w:r>
        <w:rPr>
          <w:rFonts w:ascii="仿宋_GB2312" w:eastAsia="仿宋_GB2312" w:hint="eastAsia"/>
          <w:b/>
          <w:sz w:val="28"/>
          <w:szCs w:val="24"/>
        </w:rPr>
        <w:t>聚丙烯拉丝级（中轻）</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渤商所聚丙烯拉丝级（中轻）本周开盘价11302元/吨、最高价11347元/吨、最低价11288元/吨、收盘价11324元/吨、均价11326元/吨。</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上游原料; 国际原油方面， 9月中旬前美国原油库存仍存下跌可能，但由于传统需求旺季过后，需求将陷入长期的低迷对原油价格形成制约。俄乌纠纷继续对欧元区经济形成拖累。短期来看，国际油价将维持低位震荡走势。丙烯单体方面，华东卫星、海越PDH装置相继出产合格产品，使得市场货源供应量增加，对市场价格形成一定的冲击，预计下周丙烯市场价格将小幅震荡下行。</w:t>
      </w:r>
    </w:p>
    <w:p w:rsidR="00B1138E" w:rsidRDefault="00B1138E" w:rsidP="00B1138E">
      <w:pPr>
        <w:spacing w:line="360" w:lineRule="auto"/>
        <w:ind w:firstLineChars="200" w:firstLine="482"/>
        <w:rPr>
          <w:rFonts w:ascii="仿宋_GB2312" w:eastAsia="仿宋_GB2312"/>
          <w:sz w:val="24"/>
          <w:szCs w:val="24"/>
        </w:rPr>
      </w:pPr>
      <w:r>
        <w:rPr>
          <w:rFonts w:ascii="仿宋_GB2312" w:eastAsia="仿宋_GB2312" w:hint="eastAsia"/>
          <w:b/>
          <w:sz w:val="24"/>
          <w:szCs w:val="24"/>
        </w:rPr>
        <w:t>聚丙烯现货市场：原料、库存、装置多方面影响，PP价格稳中小涨。</w:t>
      </w:r>
      <w:r>
        <w:rPr>
          <w:rFonts w:ascii="仿宋_GB2312" w:eastAsia="仿宋_GB2312"/>
          <w:sz w:val="24"/>
          <w:szCs w:val="24"/>
        </w:rPr>
        <w:t> </w:t>
      </w:r>
      <w:r>
        <w:rPr>
          <w:rFonts w:ascii="仿宋_GB2312" w:eastAsia="仿宋_GB2312" w:hint="eastAsia"/>
          <w:sz w:val="24"/>
          <w:szCs w:val="24"/>
        </w:rPr>
        <w:t>本周国内聚丙烯市场价格震荡整理，由于石化定价涨跌不一，市场缺乏单边消息指引，商家随行就市为主，未现明显涨势。在货源供应方面，大庆炼化老线与燕山石化一线停车，神华包头将于下周停车检修，石化生产装置停车比例依然偏高，部分企业有意降低拉丝排产，使得市场货源供应量较前期进一步下降，拉丝等通用料货源的减少支撑市场价格。下游工厂刚需尚在，新增订单增多，使得工厂开工情况较前期明显好转，多随用随采，库存量偏低。目前石化企业出厂价涨跌互现，业者对后市分歧加大，使得下游较为谨慎，不敢贸然接单，开工率增长幅度有限。贸易商也是轻仓上阵，根据自身库存报价，谨慎观望市场动态，价格整体呈现窄幅整理态势。建议业内人士加强对石化企业销售政策、市场实际供需情况及聚丙烯期货的关注力度。</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PP价格变化不大，盘面价格低于华东现货市场价格150-200元/吨左右，生产企业可选择在渤商所订立买入合同，或随采随用；也可在目前国内PP产能严重过剩的情况下，在渤商所订立卖出合同，增加销售渠道。</w:t>
      </w:r>
    </w:p>
    <w:p w:rsidR="00B1138E" w:rsidRDefault="00B1138E" w:rsidP="00B1138E">
      <w:pPr>
        <w:spacing w:beforeLines="50" w:before="156" w:line="360" w:lineRule="auto"/>
        <w:jc w:val="center"/>
        <w:rPr>
          <w:rFonts w:ascii="仿宋_GB2312" w:eastAsia="仿宋_GB2312"/>
          <w:b/>
          <w:sz w:val="28"/>
          <w:szCs w:val="24"/>
        </w:rPr>
      </w:pPr>
      <w:r>
        <w:rPr>
          <w:rFonts w:ascii="仿宋_GB2312" w:eastAsia="仿宋_GB2312" w:hint="eastAsia"/>
          <w:b/>
          <w:sz w:val="28"/>
          <w:szCs w:val="24"/>
        </w:rPr>
        <w:t>PVC（山东）&amp;PVC（华东）</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渤商所PVC（山东）本周开盘价5856元/吨、最高价5920元/吨、最低价5856元/吨、收盘价5912元/吨、均价5896元/吨。</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渤商所PVC（华东）本周开盘价6082元/吨、最高价6143元/吨、最低价6079</w:t>
      </w:r>
      <w:r>
        <w:rPr>
          <w:rFonts w:ascii="仿宋_GB2312" w:eastAsia="仿宋_GB2312" w:hint="eastAsia"/>
          <w:sz w:val="24"/>
          <w:szCs w:val="24"/>
        </w:rPr>
        <w:lastRenderedPageBreak/>
        <w:t>元/吨、收盘价6133元/吨、均价6133元/吨。</w:t>
      </w:r>
    </w:p>
    <w:p w:rsidR="00B1138E" w:rsidRDefault="00B1138E" w:rsidP="00B1138E">
      <w:pPr>
        <w:spacing w:line="360" w:lineRule="auto"/>
        <w:ind w:firstLineChars="200" w:firstLine="482"/>
        <w:rPr>
          <w:rFonts w:ascii="仿宋_GB2312" w:eastAsia="仿宋_GB2312"/>
          <w:sz w:val="24"/>
          <w:szCs w:val="24"/>
        </w:rPr>
      </w:pPr>
      <w:r>
        <w:rPr>
          <w:rFonts w:ascii="仿宋_GB2312" w:eastAsia="仿宋_GB2312" w:hint="eastAsia"/>
          <w:b/>
          <w:sz w:val="24"/>
          <w:szCs w:val="24"/>
        </w:rPr>
        <w:t>原料电石：</w:t>
      </w:r>
      <w:r>
        <w:rPr>
          <w:rFonts w:ascii="仿宋_GB2312" w:eastAsia="仿宋_GB2312"/>
          <w:sz w:val="24"/>
          <w:szCs w:val="24"/>
        </w:rPr>
        <w:t> </w:t>
      </w:r>
      <w:r>
        <w:rPr>
          <w:rFonts w:ascii="仿宋_GB2312" w:eastAsia="仿宋_GB2312" w:hint="eastAsia"/>
          <w:sz w:val="24"/>
          <w:szCs w:val="24"/>
        </w:rPr>
        <w:t>本周部分PVC生产企业检修，电石外卖，北元开工负荷下降，电石用量减少。同时，新增电石产能产量有所增加，电石供需的拉锯局面延续。下游极力支撑当前价格，仍不愿主动涨价。因此本周电石价格整体维持稳定，仅个别有暗箱操作零星微调现象。</w:t>
      </w:r>
    </w:p>
    <w:p w:rsidR="00B1138E" w:rsidRDefault="00B1138E" w:rsidP="00B1138E">
      <w:pPr>
        <w:spacing w:line="360" w:lineRule="auto"/>
        <w:ind w:firstLineChars="200" w:firstLine="482"/>
        <w:rPr>
          <w:rFonts w:ascii="仿宋_GB2312" w:eastAsia="仿宋_GB2312"/>
          <w:sz w:val="24"/>
          <w:szCs w:val="24"/>
        </w:rPr>
      </w:pPr>
      <w:r>
        <w:rPr>
          <w:rFonts w:ascii="仿宋_GB2312" w:eastAsia="仿宋_GB2312" w:hint="eastAsia"/>
          <w:b/>
          <w:sz w:val="24"/>
          <w:szCs w:val="24"/>
        </w:rPr>
        <w:t>PVC现货市场：华南货源紧张，带动全国报价上行。</w:t>
      </w:r>
      <w:r>
        <w:rPr>
          <w:rFonts w:ascii="仿宋_GB2312" w:eastAsia="仿宋_GB2312" w:hint="eastAsia"/>
          <w:sz w:val="24"/>
          <w:szCs w:val="24"/>
        </w:rPr>
        <w:t>本周华南市场货源依然紧张，报价继续冲高，在华南市场走高的带动下，国内PVC市场整体呈现小涨态势。受此带动PVC生产企业报价也适度上调，进一步带动华东、华北等市场贸易商报价小幅上行。随着这两周局部市场价格小幅上涨支撑，各地市场气氛略好转，商家心态有所改善，低价走货意向减弱。但需求平淡，高价出货不理想，价格继续上行受阻。预计下周电石产量略有增加，但部分PVC生产企业开工，对电石需求量增加，原料电石供需之间的博弈状态仍会延续，大局盘整态势难有改观。而在货源供应方面，华东、华北到货正常，华南市场货源有增加态势，但仍不多。在下游需求方面，仍难有明显变化，成交量难以提升。</w:t>
      </w:r>
    </w:p>
    <w:p w:rsidR="00B1138E" w:rsidRDefault="00B1138E" w:rsidP="00B1138E">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PVC(山东)价格先稳定，后呈现小幅上涨，幅度在30元/吨左右，PVC（华东）盘面价格与华东主流市场价格高出50-60元/吨左右，生产企业可选择在渤商所订立买入合同，或随采随用；也可在目前国内PP产能严重过剩的情况下，在渤商所订立卖出合同，增加销售渠道。</w:t>
      </w:r>
    </w:p>
    <w:p w:rsidR="004061BF" w:rsidRDefault="004061BF" w:rsidP="004061BF">
      <w:pPr>
        <w:spacing w:line="360" w:lineRule="auto"/>
        <w:ind w:firstLineChars="200" w:firstLine="480"/>
        <w:rPr>
          <w:rFonts w:ascii="仿宋_GB2312" w:eastAsia="仿宋_GB2312"/>
          <w:sz w:val="24"/>
          <w:szCs w:val="24"/>
        </w:rPr>
      </w:pPr>
    </w:p>
    <w:p w:rsidR="00B1138E" w:rsidRDefault="00B1138E" w:rsidP="004061BF">
      <w:pPr>
        <w:spacing w:line="360" w:lineRule="auto"/>
        <w:ind w:firstLineChars="200" w:firstLine="480"/>
        <w:rPr>
          <w:rFonts w:ascii="仿宋_GB2312" w:eastAsia="仿宋_GB2312"/>
          <w:sz w:val="24"/>
          <w:szCs w:val="24"/>
        </w:rPr>
      </w:pPr>
    </w:p>
    <w:p w:rsidR="00B1138E" w:rsidRDefault="00B1138E" w:rsidP="004061BF">
      <w:pPr>
        <w:spacing w:line="360" w:lineRule="auto"/>
        <w:ind w:firstLineChars="200" w:firstLine="480"/>
        <w:rPr>
          <w:rFonts w:ascii="仿宋_GB2312" w:eastAsia="仿宋_GB2312"/>
          <w:sz w:val="24"/>
          <w:szCs w:val="24"/>
        </w:rPr>
      </w:pPr>
    </w:p>
    <w:p w:rsidR="00B1138E" w:rsidRDefault="00B1138E" w:rsidP="004061BF">
      <w:pPr>
        <w:spacing w:line="360" w:lineRule="auto"/>
        <w:ind w:firstLineChars="200" w:firstLine="480"/>
        <w:rPr>
          <w:rFonts w:ascii="仿宋_GB2312" w:eastAsia="仿宋_GB2312"/>
          <w:sz w:val="24"/>
          <w:szCs w:val="24"/>
        </w:rPr>
      </w:pPr>
    </w:p>
    <w:p w:rsidR="00B1138E" w:rsidRDefault="00B1138E" w:rsidP="004061BF">
      <w:pPr>
        <w:spacing w:line="360" w:lineRule="auto"/>
        <w:ind w:firstLineChars="200" w:firstLine="480"/>
        <w:rPr>
          <w:rFonts w:ascii="仿宋_GB2312" w:eastAsia="仿宋_GB2312"/>
          <w:sz w:val="24"/>
          <w:szCs w:val="24"/>
        </w:rPr>
      </w:pPr>
    </w:p>
    <w:p w:rsidR="00B1138E" w:rsidRDefault="00B1138E" w:rsidP="004061BF">
      <w:pPr>
        <w:spacing w:line="360" w:lineRule="auto"/>
        <w:ind w:firstLineChars="200" w:firstLine="480"/>
        <w:rPr>
          <w:rFonts w:ascii="仿宋_GB2312" w:eastAsia="仿宋_GB2312"/>
          <w:sz w:val="24"/>
          <w:szCs w:val="24"/>
        </w:rPr>
      </w:pPr>
    </w:p>
    <w:p w:rsidR="00B1138E" w:rsidRDefault="00B1138E" w:rsidP="004061BF">
      <w:pPr>
        <w:spacing w:line="360" w:lineRule="auto"/>
        <w:ind w:firstLineChars="200" w:firstLine="480"/>
        <w:rPr>
          <w:rFonts w:ascii="仿宋_GB2312" w:eastAsia="仿宋_GB2312"/>
          <w:sz w:val="24"/>
          <w:szCs w:val="24"/>
        </w:rPr>
      </w:pPr>
    </w:p>
    <w:p w:rsidR="00E04A6F" w:rsidRPr="00706975" w:rsidRDefault="00E04A6F" w:rsidP="004061BF">
      <w:pPr>
        <w:spacing w:line="360" w:lineRule="auto"/>
      </w:pPr>
    </w:p>
    <w:p w:rsidR="006C2B37" w:rsidRPr="00E04A6F" w:rsidRDefault="006C2B37" w:rsidP="008A2353">
      <w:pPr>
        <w:widowControl/>
        <w:spacing w:line="360" w:lineRule="auto"/>
        <w:ind w:firstLineChars="250" w:firstLine="602"/>
        <w:jc w:val="left"/>
        <w:rPr>
          <w:rFonts w:ascii="仿宋_GB2312" w:eastAsia="仿宋_GB2312"/>
          <w:b/>
          <w:sz w:val="24"/>
          <w:szCs w:val="24"/>
        </w:rPr>
      </w:pPr>
    </w:p>
    <w:p w:rsidR="00BF414D" w:rsidRDefault="00BF414D" w:rsidP="008A2353">
      <w:pPr>
        <w:widowControl/>
        <w:spacing w:line="360" w:lineRule="auto"/>
        <w:ind w:firstLineChars="250" w:firstLine="602"/>
        <w:jc w:val="left"/>
        <w:rPr>
          <w:rFonts w:ascii="仿宋_GB2312" w:eastAsia="仿宋_GB2312"/>
          <w:b/>
          <w:sz w:val="24"/>
          <w:szCs w:val="24"/>
        </w:rPr>
      </w:pPr>
    </w:p>
    <w:p w:rsidR="00BF414D" w:rsidRPr="00A73B3B" w:rsidRDefault="00BF414D" w:rsidP="008A2353">
      <w:pPr>
        <w:widowControl/>
        <w:spacing w:line="360" w:lineRule="auto"/>
        <w:ind w:firstLineChars="250" w:firstLine="602"/>
        <w:jc w:val="left"/>
        <w:rPr>
          <w:rFonts w:ascii="宋体" w:hAnsi="宋体" w:cs="宋体"/>
          <w:b/>
          <w:kern w:val="0"/>
          <w:sz w:val="24"/>
          <w:szCs w:val="24"/>
        </w:rPr>
      </w:pPr>
    </w:p>
    <w:p w:rsidR="008A2353" w:rsidRPr="00485B8B" w:rsidRDefault="008A2353" w:rsidP="008A2353">
      <w:pPr>
        <w:widowControl/>
        <w:spacing w:line="360" w:lineRule="auto"/>
        <w:ind w:firstLineChars="250" w:firstLine="602"/>
        <w:jc w:val="left"/>
        <w:rPr>
          <w:rFonts w:ascii="宋体" w:hAnsi="宋体" w:cs="宋体"/>
          <w:b/>
          <w:kern w:val="0"/>
          <w:sz w:val="24"/>
          <w:szCs w:val="24"/>
        </w:rPr>
      </w:pPr>
      <w:r w:rsidRPr="00C03326">
        <w:rPr>
          <w:rFonts w:ascii="宋体" w:hAnsi="宋体" w:cs="宋体"/>
          <w:b/>
          <w:kern w:val="0"/>
          <w:sz w:val="24"/>
          <w:szCs w:val="24"/>
        </w:rPr>
        <w:lastRenderedPageBreak/>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107F2E" w:rsidRPr="008A2353" w:rsidRDefault="00E02ABA"/>
    <w:sectPr w:rsidR="00107F2E" w:rsidRPr="008A2353" w:rsidSect="00F13068">
      <w:headerReference w:type="default" r:id="rId10"/>
      <w:pgSz w:w="11906" w:h="16838" w:code="9"/>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BA" w:rsidRDefault="00E02ABA" w:rsidP="008A2353">
      <w:r>
        <w:separator/>
      </w:r>
    </w:p>
  </w:endnote>
  <w:endnote w:type="continuationSeparator" w:id="0">
    <w:p w:rsidR="00E02ABA" w:rsidRDefault="00E02ABA" w:rsidP="008A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BA" w:rsidRDefault="00E02ABA" w:rsidP="008A2353">
      <w:r>
        <w:separator/>
      </w:r>
    </w:p>
  </w:footnote>
  <w:footnote w:type="continuationSeparator" w:id="0">
    <w:p w:rsidR="00E02ABA" w:rsidRDefault="00E02ABA" w:rsidP="008A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A3" w:rsidRDefault="00E02ABA" w:rsidP="00C86A5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353"/>
    <w:rsid w:val="000138FD"/>
    <w:rsid w:val="001A5991"/>
    <w:rsid w:val="00206F59"/>
    <w:rsid w:val="002E0C0E"/>
    <w:rsid w:val="002F5E35"/>
    <w:rsid w:val="003110F5"/>
    <w:rsid w:val="00323F87"/>
    <w:rsid w:val="00326185"/>
    <w:rsid w:val="004061BF"/>
    <w:rsid w:val="0042121C"/>
    <w:rsid w:val="00481009"/>
    <w:rsid w:val="00491C08"/>
    <w:rsid w:val="00543215"/>
    <w:rsid w:val="00550D36"/>
    <w:rsid w:val="005D2E26"/>
    <w:rsid w:val="005F2188"/>
    <w:rsid w:val="00665D01"/>
    <w:rsid w:val="00690A73"/>
    <w:rsid w:val="006B1A66"/>
    <w:rsid w:val="006C2B37"/>
    <w:rsid w:val="0070088E"/>
    <w:rsid w:val="00707667"/>
    <w:rsid w:val="007241FC"/>
    <w:rsid w:val="007757AA"/>
    <w:rsid w:val="007B5EAC"/>
    <w:rsid w:val="008A2353"/>
    <w:rsid w:val="00994CAB"/>
    <w:rsid w:val="009A5D5E"/>
    <w:rsid w:val="009C7DDA"/>
    <w:rsid w:val="009E5F99"/>
    <w:rsid w:val="00A339BC"/>
    <w:rsid w:val="00A47D7E"/>
    <w:rsid w:val="00A73B3B"/>
    <w:rsid w:val="00AA4659"/>
    <w:rsid w:val="00AB356E"/>
    <w:rsid w:val="00AF2B00"/>
    <w:rsid w:val="00AF4BB5"/>
    <w:rsid w:val="00B1138E"/>
    <w:rsid w:val="00B5420A"/>
    <w:rsid w:val="00BA6662"/>
    <w:rsid w:val="00BF099D"/>
    <w:rsid w:val="00BF3A00"/>
    <w:rsid w:val="00BF414D"/>
    <w:rsid w:val="00C5792E"/>
    <w:rsid w:val="00C8271B"/>
    <w:rsid w:val="00D331FC"/>
    <w:rsid w:val="00D50D3F"/>
    <w:rsid w:val="00DF7FC0"/>
    <w:rsid w:val="00E02ABA"/>
    <w:rsid w:val="00E04A6F"/>
    <w:rsid w:val="00E43426"/>
    <w:rsid w:val="00EE6A01"/>
    <w:rsid w:val="00EF2AA0"/>
    <w:rsid w:val="00F0209F"/>
    <w:rsid w:val="00F23446"/>
    <w:rsid w:val="00F246BE"/>
    <w:rsid w:val="00FC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23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A2353"/>
    <w:rPr>
      <w:sz w:val="18"/>
      <w:szCs w:val="18"/>
    </w:rPr>
  </w:style>
  <w:style w:type="paragraph" w:styleId="a4">
    <w:name w:val="footer"/>
    <w:basedOn w:val="a"/>
    <w:link w:val="Char0"/>
    <w:uiPriority w:val="99"/>
    <w:unhideWhenUsed/>
    <w:rsid w:val="008A23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2353"/>
    <w:rPr>
      <w:sz w:val="18"/>
      <w:szCs w:val="18"/>
    </w:rPr>
  </w:style>
  <w:style w:type="paragraph" w:customStyle="1" w:styleId="11">
    <w:name w:val="列出段落11"/>
    <w:rsid w:val="008A2353"/>
    <w:pPr>
      <w:ind w:firstLineChars="200" w:firstLine="420"/>
    </w:pPr>
    <w:rPr>
      <w:rFonts w:ascii="Calibri" w:eastAsia="宋体" w:hAnsi="Calibri" w:cs="Times New Roman"/>
      <w:kern w:val="0"/>
      <w:sz w:val="20"/>
      <w:szCs w:val="20"/>
    </w:rPr>
  </w:style>
  <w:style w:type="paragraph" w:styleId="a5">
    <w:name w:val="List Paragraph"/>
    <w:basedOn w:val="a"/>
    <w:uiPriority w:val="99"/>
    <w:qFormat/>
    <w:rsid w:val="008A2353"/>
    <w:pPr>
      <w:ind w:firstLineChars="200" w:firstLine="420"/>
    </w:pPr>
    <w:rPr>
      <w:rFonts w:ascii="Calibri" w:hAnsi="Calibri"/>
      <w:szCs w:val="22"/>
    </w:rPr>
  </w:style>
  <w:style w:type="character" w:styleId="a6">
    <w:name w:val="Hyperlink"/>
    <w:basedOn w:val="a0"/>
    <w:rsid w:val="00550D36"/>
    <w:rPr>
      <w:rFonts w:ascii="ˎ̥" w:hAnsi="ˎ̥" w:hint="default"/>
      <w:strike w:val="0"/>
      <w:dstrike w:val="0"/>
      <w:color w:val="000000"/>
      <w:u w:val="none"/>
    </w:rPr>
  </w:style>
  <w:style w:type="paragraph" w:styleId="a7">
    <w:name w:val="Normal (Web)"/>
    <w:basedOn w:val="a"/>
    <w:uiPriority w:val="99"/>
    <w:rsid w:val="00550D36"/>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550D36"/>
    <w:pPr>
      <w:ind w:firstLineChars="200" w:firstLine="420"/>
    </w:pPr>
    <w:rPr>
      <w:rFonts w:ascii="Calibri" w:hAnsi="Calibri"/>
      <w:szCs w:val="22"/>
    </w:rPr>
  </w:style>
  <w:style w:type="paragraph" w:customStyle="1" w:styleId="2">
    <w:name w:val="列出段落2"/>
    <w:basedOn w:val="a"/>
    <w:rsid w:val="00E04A6F"/>
    <w:pPr>
      <w:ind w:firstLineChars="200" w:firstLine="420"/>
    </w:pPr>
    <w:rPr>
      <w:rFonts w:ascii="Calibri" w:hAnsi="Calibri"/>
      <w:szCs w:val="22"/>
    </w:rPr>
  </w:style>
  <w:style w:type="paragraph" w:customStyle="1" w:styleId="3">
    <w:name w:val="列出段落3"/>
    <w:basedOn w:val="a"/>
    <w:rsid w:val="00707667"/>
    <w:pPr>
      <w:ind w:firstLineChars="200" w:firstLine="420"/>
    </w:pPr>
    <w:rPr>
      <w:rFonts w:ascii="Calibri" w:hAnsi="Calibri"/>
      <w:szCs w:val="22"/>
    </w:rPr>
  </w:style>
  <w:style w:type="paragraph" w:customStyle="1" w:styleId="4">
    <w:name w:val="列出段落4"/>
    <w:basedOn w:val="a"/>
    <w:rsid w:val="00D331FC"/>
    <w:pPr>
      <w:ind w:firstLineChars="200" w:firstLine="420"/>
    </w:pPr>
    <w:rPr>
      <w:rFonts w:ascii="Calibri" w:hAnsi="Calibri"/>
      <w:szCs w:val="22"/>
    </w:rPr>
  </w:style>
  <w:style w:type="character" w:styleId="a8">
    <w:name w:val="Strong"/>
    <w:basedOn w:val="a0"/>
    <w:uiPriority w:val="22"/>
    <w:qFormat/>
    <w:rsid w:val="00BA6662"/>
    <w:rPr>
      <w:b/>
      <w:bCs/>
    </w:rPr>
  </w:style>
  <w:style w:type="paragraph" w:customStyle="1" w:styleId="5">
    <w:name w:val="列出段落5"/>
    <w:basedOn w:val="a"/>
    <w:rsid w:val="00AF2B00"/>
    <w:pPr>
      <w:ind w:firstLineChars="200" w:firstLine="420"/>
    </w:pPr>
    <w:rPr>
      <w:rFonts w:ascii="Calibri" w:hAnsi="Calibri"/>
      <w:szCs w:val="22"/>
    </w:rPr>
  </w:style>
  <w:style w:type="paragraph" w:customStyle="1" w:styleId="6">
    <w:name w:val="列出段落6"/>
    <w:basedOn w:val="a"/>
    <w:rsid w:val="00326185"/>
    <w:pPr>
      <w:ind w:firstLineChars="200" w:firstLine="420"/>
    </w:pPr>
    <w:rPr>
      <w:rFonts w:ascii="Calibri" w:hAnsi="Calibri"/>
      <w:szCs w:val="22"/>
    </w:rPr>
  </w:style>
  <w:style w:type="paragraph" w:customStyle="1" w:styleId="7">
    <w:name w:val="列出段落7"/>
    <w:basedOn w:val="a"/>
    <w:uiPriority w:val="99"/>
    <w:rsid w:val="00206F59"/>
    <w:pPr>
      <w:ind w:firstLineChars="200" w:firstLine="420"/>
    </w:pPr>
    <w:rPr>
      <w:rFonts w:ascii="Calibri" w:hAnsi="Calibri"/>
      <w:szCs w:val="22"/>
    </w:rPr>
  </w:style>
  <w:style w:type="paragraph" w:customStyle="1" w:styleId="8">
    <w:name w:val="列出段落8"/>
    <w:basedOn w:val="a"/>
    <w:uiPriority w:val="99"/>
    <w:rsid w:val="00481009"/>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195">
      <w:bodyDiv w:val="1"/>
      <w:marLeft w:val="0"/>
      <w:marRight w:val="0"/>
      <w:marTop w:val="0"/>
      <w:marBottom w:val="0"/>
      <w:divBdr>
        <w:top w:val="none" w:sz="0" w:space="0" w:color="auto"/>
        <w:left w:val="none" w:sz="0" w:space="0" w:color="auto"/>
        <w:bottom w:val="none" w:sz="0" w:space="0" w:color="auto"/>
        <w:right w:val="none" w:sz="0" w:space="0" w:color="auto"/>
      </w:divBdr>
    </w:div>
    <w:div w:id="90057035">
      <w:bodyDiv w:val="1"/>
      <w:marLeft w:val="0"/>
      <w:marRight w:val="0"/>
      <w:marTop w:val="0"/>
      <w:marBottom w:val="0"/>
      <w:divBdr>
        <w:top w:val="none" w:sz="0" w:space="0" w:color="auto"/>
        <w:left w:val="none" w:sz="0" w:space="0" w:color="auto"/>
        <w:bottom w:val="none" w:sz="0" w:space="0" w:color="auto"/>
        <w:right w:val="none" w:sz="0" w:space="0" w:color="auto"/>
      </w:divBdr>
    </w:div>
    <w:div w:id="116872657">
      <w:bodyDiv w:val="1"/>
      <w:marLeft w:val="0"/>
      <w:marRight w:val="0"/>
      <w:marTop w:val="0"/>
      <w:marBottom w:val="0"/>
      <w:divBdr>
        <w:top w:val="none" w:sz="0" w:space="0" w:color="auto"/>
        <w:left w:val="none" w:sz="0" w:space="0" w:color="auto"/>
        <w:bottom w:val="none" w:sz="0" w:space="0" w:color="auto"/>
        <w:right w:val="none" w:sz="0" w:space="0" w:color="auto"/>
      </w:divBdr>
    </w:div>
    <w:div w:id="150142990">
      <w:bodyDiv w:val="1"/>
      <w:marLeft w:val="0"/>
      <w:marRight w:val="0"/>
      <w:marTop w:val="0"/>
      <w:marBottom w:val="0"/>
      <w:divBdr>
        <w:top w:val="none" w:sz="0" w:space="0" w:color="auto"/>
        <w:left w:val="none" w:sz="0" w:space="0" w:color="auto"/>
        <w:bottom w:val="none" w:sz="0" w:space="0" w:color="auto"/>
        <w:right w:val="none" w:sz="0" w:space="0" w:color="auto"/>
      </w:divBdr>
    </w:div>
    <w:div w:id="535626630">
      <w:bodyDiv w:val="1"/>
      <w:marLeft w:val="0"/>
      <w:marRight w:val="0"/>
      <w:marTop w:val="0"/>
      <w:marBottom w:val="0"/>
      <w:divBdr>
        <w:top w:val="none" w:sz="0" w:space="0" w:color="auto"/>
        <w:left w:val="none" w:sz="0" w:space="0" w:color="auto"/>
        <w:bottom w:val="none" w:sz="0" w:space="0" w:color="auto"/>
        <w:right w:val="none" w:sz="0" w:space="0" w:color="auto"/>
      </w:divBdr>
    </w:div>
    <w:div w:id="621151810">
      <w:bodyDiv w:val="1"/>
      <w:marLeft w:val="0"/>
      <w:marRight w:val="0"/>
      <w:marTop w:val="0"/>
      <w:marBottom w:val="0"/>
      <w:divBdr>
        <w:top w:val="none" w:sz="0" w:space="0" w:color="auto"/>
        <w:left w:val="none" w:sz="0" w:space="0" w:color="auto"/>
        <w:bottom w:val="none" w:sz="0" w:space="0" w:color="auto"/>
        <w:right w:val="none" w:sz="0" w:space="0" w:color="auto"/>
      </w:divBdr>
    </w:div>
    <w:div w:id="625164045">
      <w:bodyDiv w:val="1"/>
      <w:marLeft w:val="0"/>
      <w:marRight w:val="0"/>
      <w:marTop w:val="0"/>
      <w:marBottom w:val="0"/>
      <w:divBdr>
        <w:top w:val="none" w:sz="0" w:space="0" w:color="auto"/>
        <w:left w:val="none" w:sz="0" w:space="0" w:color="auto"/>
        <w:bottom w:val="none" w:sz="0" w:space="0" w:color="auto"/>
        <w:right w:val="none" w:sz="0" w:space="0" w:color="auto"/>
      </w:divBdr>
    </w:div>
    <w:div w:id="1094743124">
      <w:bodyDiv w:val="1"/>
      <w:marLeft w:val="0"/>
      <w:marRight w:val="0"/>
      <w:marTop w:val="0"/>
      <w:marBottom w:val="0"/>
      <w:divBdr>
        <w:top w:val="none" w:sz="0" w:space="0" w:color="auto"/>
        <w:left w:val="none" w:sz="0" w:space="0" w:color="auto"/>
        <w:bottom w:val="none" w:sz="0" w:space="0" w:color="auto"/>
        <w:right w:val="none" w:sz="0" w:space="0" w:color="auto"/>
      </w:divBdr>
    </w:div>
    <w:div w:id="1235316629">
      <w:bodyDiv w:val="1"/>
      <w:marLeft w:val="0"/>
      <w:marRight w:val="0"/>
      <w:marTop w:val="0"/>
      <w:marBottom w:val="0"/>
      <w:divBdr>
        <w:top w:val="none" w:sz="0" w:space="0" w:color="auto"/>
        <w:left w:val="none" w:sz="0" w:space="0" w:color="auto"/>
        <w:bottom w:val="none" w:sz="0" w:space="0" w:color="auto"/>
        <w:right w:val="none" w:sz="0" w:space="0" w:color="auto"/>
      </w:divBdr>
    </w:div>
    <w:div w:id="1371107310">
      <w:bodyDiv w:val="1"/>
      <w:marLeft w:val="0"/>
      <w:marRight w:val="0"/>
      <w:marTop w:val="0"/>
      <w:marBottom w:val="0"/>
      <w:divBdr>
        <w:top w:val="none" w:sz="0" w:space="0" w:color="auto"/>
        <w:left w:val="none" w:sz="0" w:space="0" w:color="auto"/>
        <w:bottom w:val="none" w:sz="0" w:space="0" w:color="auto"/>
        <w:right w:val="none" w:sz="0" w:space="0" w:color="auto"/>
      </w:divBdr>
    </w:div>
    <w:div w:id="1373649667">
      <w:bodyDiv w:val="1"/>
      <w:marLeft w:val="0"/>
      <w:marRight w:val="0"/>
      <w:marTop w:val="0"/>
      <w:marBottom w:val="0"/>
      <w:divBdr>
        <w:top w:val="none" w:sz="0" w:space="0" w:color="auto"/>
        <w:left w:val="none" w:sz="0" w:space="0" w:color="auto"/>
        <w:bottom w:val="none" w:sz="0" w:space="0" w:color="auto"/>
        <w:right w:val="none" w:sz="0" w:space="0" w:color="auto"/>
      </w:divBdr>
    </w:div>
    <w:div w:id="1382708096">
      <w:bodyDiv w:val="1"/>
      <w:marLeft w:val="0"/>
      <w:marRight w:val="0"/>
      <w:marTop w:val="0"/>
      <w:marBottom w:val="0"/>
      <w:divBdr>
        <w:top w:val="none" w:sz="0" w:space="0" w:color="auto"/>
        <w:left w:val="none" w:sz="0" w:space="0" w:color="auto"/>
        <w:bottom w:val="none" w:sz="0" w:space="0" w:color="auto"/>
        <w:right w:val="none" w:sz="0" w:space="0" w:color="auto"/>
      </w:divBdr>
    </w:div>
    <w:div w:id="1516311499">
      <w:bodyDiv w:val="1"/>
      <w:marLeft w:val="0"/>
      <w:marRight w:val="0"/>
      <w:marTop w:val="0"/>
      <w:marBottom w:val="0"/>
      <w:divBdr>
        <w:top w:val="none" w:sz="0" w:space="0" w:color="auto"/>
        <w:left w:val="none" w:sz="0" w:space="0" w:color="auto"/>
        <w:bottom w:val="none" w:sz="0" w:space="0" w:color="auto"/>
        <w:right w:val="none" w:sz="0" w:space="0" w:color="auto"/>
      </w:divBdr>
    </w:div>
    <w:div w:id="1668821457">
      <w:bodyDiv w:val="1"/>
      <w:marLeft w:val="0"/>
      <w:marRight w:val="0"/>
      <w:marTop w:val="0"/>
      <w:marBottom w:val="0"/>
      <w:divBdr>
        <w:top w:val="none" w:sz="0" w:space="0" w:color="auto"/>
        <w:left w:val="none" w:sz="0" w:space="0" w:color="auto"/>
        <w:bottom w:val="none" w:sz="0" w:space="0" w:color="auto"/>
        <w:right w:val="none" w:sz="0" w:space="0" w:color="auto"/>
      </w:divBdr>
    </w:div>
    <w:div w:id="1782602541">
      <w:bodyDiv w:val="1"/>
      <w:marLeft w:val="0"/>
      <w:marRight w:val="0"/>
      <w:marTop w:val="0"/>
      <w:marBottom w:val="0"/>
      <w:divBdr>
        <w:top w:val="none" w:sz="0" w:space="0" w:color="auto"/>
        <w:left w:val="none" w:sz="0" w:space="0" w:color="auto"/>
        <w:bottom w:val="none" w:sz="0" w:space="0" w:color="auto"/>
        <w:right w:val="none" w:sz="0" w:space="0" w:color="auto"/>
      </w:divBdr>
    </w:div>
    <w:div w:id="1807967891">
      <w:bodyDiv w:val="1"/>
      <w:marLeft w:val="0"/>
      <w:marRight w:val="0"/>
      <w:marTop w:val="0"/>
      <w:marBottom w:val="0"/>
      <w:divBdr>
        <w:top w:val="none" w:sz="0" w:space="0" w:color="auto"/>
        <w:left w:val="none" w:sz="0" w:space="0" w:color="auto"/>
        <w:bottom w:val="none" w:sz="0" w:space="0" w:color="auto"/>
        <w:right w:val="none" w:sz="0" w:space="0" w:color="auto"/>
      </w:divBdr>
    </w:div>
    <w:div w:id="1914315725">
      <w:bodyDiv w:val="1"/>
      <w:marLeft w:val="0"/>
      <w:marRight w:val="0"/>
      <w:marTop w:val="0"/>
      <w:marBottom w:val="0"/>
      <w:divBdr>
        <w:top w:val="none" w:sz="0" w:space="0" w:color="auto"/>
        <w:left w:val="none" w:sz="0" w:space="0" w:color="auto"/>
        <w:bottom w:val="none" w:sz="0" w:space="0" w:color="auto"/>
        <w:right w:val="none" w:sz="0" w:space="0" w:color="auto"/>
      </w:divBdr>
    </w:div>
    <w:div w:id="1960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bor.com.cn/" TargetMode="External"/><Relationship Id="rId3" Type="http://schemas.openxmlformats.org/officeDocument/2006/relationships/settings" Target="settings.xml"/><Relationship Id="rId7" Type="http://schemas.openxmlformats.org/officeDocument/2006/relationships/hyperlink" Target="http://www.osc.org.cn/CoalIndex/chs/new/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mcp.com/news/price/jiaot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31</cp:revision>
  <dcterms:created xsi:type="dcterms:W3CDTF">2014-06-27T09:27:00Z</dcterms:created>
  <dcterms:modified xsi:type="dcterms:W3CDTF">2014-09-05T09:30:00Z</dcterms:modified>
</cp:coreProperties>
</file>