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0"/>
        <w:tabs>
          <w:tab w:val="left" w:pos="7088"/>
        </w:tabs>
        <w:spacing w:line="360" w:lineRule="auto"/>
        <w:ind w:firstLine="0" w:firstLineChars="0"/>
        <w:rPr>
          <w:rFonts w:ascii="仿宋_GB2312" w:eastAsia="仿宋_GB2312"/>
          <w:b/>
          <w:sz w:val="24"/>
        </w:rPr>
      </w:pPr>
      <w:r>
        <w:rPr>
          <w:rFonts w:hAnsi="仿宋_GB2312"/>
          <w:b/>
          <w:bCs/>
          <w:sz w:val="36"/>
          <w:szCs w:val="36"/>
        </w:rPr>
        <w:t>【</w:t>
      </w:r>
      <w:r>
        <w:rPr>
          <w:rFonts w:hint="eastAsia" w:hAnsi="仿宋_GB2312"/>
          <w:b/>
          <w:bCs/>
          <w:sz w:val="36"/>
          <w:szCs w:val="36"/>
        </w:rPr>
        <w:t>煤炭能源</w:t>
      </w:r>
      <w:r>
        <w:rPr>
          <w:rFonts w:hAnsi="仿宋_GB2312"/>
          <w:b/>
          <w:bCs/>
          <w:sz w:val="36"/>
          <w:szCs w:val="36"/>
        </w:rPr>
        <w:t>板块】</w:t>
      </w:r>
    </w:p>
    <w:p>
      <w:pPr>
        <w:pStyle w:val="9"/>
        <w:tabs>
          <w:tab w:val="left" w:pos="7088"/>
        </w:tabs>
        <w:spacing w:line="360" w:lineRule="auto"/>
        <w:ind w:firstLine="0" w:firstLineChars="0"/>
        <w:rPr>
          <w:rFonts w:hint="eastAsia" w:ascii="仿宋_GB2312" w:eastAsia="仿宋_GB2312"/>
          <w:b/>
          <w:sz w:val="24"/>
        </w:rPr>
      </w:pPr>
      <w:r>
        <w:rPr>
          <w:rFonts w:hint="eastAsia" w:ascii="仿宋_GB2312" w:eastAsia="仿宋_GB2312"/>
          <w:b/>
          <w:sz w:val="24"/>
        </w:rPr>
        <w:t>动力煤：小幅上涨</w:t>
      </w:r>
    </w:p>
    <w:p>
      <w:pPr>
        <w:pStyle w:val="9"/>
        <w:tabs>
          <w:tab w:val="left" w:pos="7088"/>
        </w:tabs>
        <w:spacing w:line="360" w:lineRule="auto"/>
        <w:ind w:firstLine="566" w:firstLineChars="236"/>
        <w:rPr>
          <w:rFonts w:hint="eastAsia" w:ascii="仿宋_GB2312" w:hAnsi="仿宋" w:eastAsia="仿宋_GB2312"/>
          <w:sz w:val="24"/>
          <w:szCs w:val="24"/>
        </w:rPr>
      </w:pPr>
      <w:r>
        <w:rPr>
          <w:rFonts w:hint="eastAsia" w:ascii="仿宋_GB2312" w:hAnsi="仿宋" w:eastAsia="仿宋_GB2312"/>
          <w:sz w:val="24"/>
          <w:szCs w:val="24"/>
        </w:rPr>
        <w:t>本周动力煤价格小幅上涨。周五渤海商品交易所动力煤收于499元/吨，较与上周价格上涨11元/吨，交易量增加，订货量小幅减少。</w:t>
      </w:r>
    </w:p>
    <w:p>
      <w:pPr>
        <w:pStyle w:val="4"/>
        <w:shd w:val="clear" w:color="auto" w:fill="FFFFFF"/>
        <w:tabs>
          <w:tab w:val="left" w:pos="518"/>
        </w:tabs>
        <w:spacing w:before="0" w:beforeAutospacing="0" w:after="0" w:afterAutospacing="0" w:line="360" w:lineRule="auto"/>
        <w:ind w:firstLine="566" w:firstLineChars="236"/>
        <w:jc w:val="both"/>
        <w:rPr>
          <w:rFonts w:hint="eastAsia" w:ascii="仿宋_GB2312" w:hAnsi="仿宋" w:eastAsia="仿宋_GB2312"/>
          <w:color w:val="000000"/>
        </w:rPr>
      </w:pPr>
      <w:r>
        <w:rPr>
          <w:rFonts w:hint="eastAsia" w:ascii="仿宋_GB2312" w:hAnsi="仿宋" w:eastAsia="仿宋_GB2312"/>
          <w:color w:val="000000"/>
        </w:rPr>
        <w:t>9月初，神华集团价格小幅上涨5元/吨，中煤、伊泰、同煤等大型煤企也跟随神华小幅上涨。神华9月1日</w:t>
      </w:r>
      <w:r>
        <w:rPr>
          <w:rFonts w:hint="eastAsia" w:ascii="仿宋_GB2312" w:hAnsi="仿宋" w:eastAsia="仿宋_GB2312"/>
          <w:color w:val="000000"/>
        </w:rPr>
        <w:fldChar w:fldCharType="begin"/>
      </w:r>
      <w:r>
        <w:rPr>
          <w:rFonts w:hint="eastAsia" w:ascii="仿宋_GB2312" w:hAnsi="仿宋" w:eastAsia="仿宋_GB2312"/>
          <w:color w:val="000000"/>
        </w:rPr>
        <w:instrText xml:space="preserve"> HYPERLINK "http://www.osc.org.cn/CoalIndex/chs/new/index.html" \l "bohai" \t "_blank" </w:instrText>
      </w:r>
      <w:r>
        <w:rPr>
          <w:rFonts w:hint="eastAsia" w:ascii="仿宋_GB2312" w:hAnsi="仿宋" w:eastAsia="仿宋_GB2312"/>
          <w:color w:val="000000"/>
        </w:rPr>
        <w:fldChar w:fldCharType="separate"/>
      </w:r>
      <w:r>
        <w:rPr>
          <w:rStyle w:val="7"/>
          <w:rFonts w:hint="eastAsia" w:ascii="仿宋_GB2312" w:hAnsi="仿宋" w:eastAsia="仿宋_GB2312"/>
        </w:rPr>
        <w:t>煤价</w:t>
      </w:r>
      <w:r>
        <w:rPr>
          <w:rFonts w:hint="eastAsia" w:ascii="仿宋_GB2312" w:hAnsi="仿宋" w:eastAsia="仿宋_GB2312"/>
          <w:color w:val="000000"/>
        </w:rPr>
        <w:fldChar w:fldCharType="end"/>
      </w:r>
      <w:r>
        <w:rPr>
          <w:rFonts w:hint="eastAsia" w:ascii="仿宋_GB2312" w:hAnsi="仿宋" w:eastAsia="仿宋_GB2312"/>
          <w:color w:val="000000"/>
        </w:rPr>
        <w:t>上涨后，港口低硫</w:t>
      </w:r>
      <w:r>
        <w:rPr>
          <w:rFonts w:hint="eastAsia" w:ascii="仿宋_GB2312" w:hAnsi="仿宋" w:eastAsia="仿宋_GB2312"/>
          <w:color w:val="000000"/>
        </w:rPr>
        <w:fldChar w:fldCharType="begin"/>
      </w:r>
      <w:r>
        <w:rPr>
          <w:rFonts w:hint="eastAsia" w:ascii="仿宋_GB2312" w:hAnsi="仿宋" w:eastAsia="仿宋_GB2312"/>
          <w:color w:val="000000"/>
        </w:rPr>
        <w:instrText xml:space="preserve"> HYPERLINK "http://www.osc.org.cn/CoalIndex/chs/new/" \t "_blank" </w:instrText>
      </w:r>
      <w:r>
        <w:rPr>
          <w:rFonts w:hint="eastAsia" w:ascii="仿宋_GB2312" w:hAnsi="仿宋" w:eastAsia="仿宋_GB2312"/>
          <w:color w:val="000000"/>
        </w:rPr>
        <w:fldChar w:fldCharType="separate"/>
      </w:r>
      <w:r>
        <w:rPr>
          <w:rStyle w:val="7"/>
          <w:rFonts w:hint="eastAsia" w:ascii="仿宋_GB2312" w:hAnsi="仿宋" w:eastAsia="仿宋_GB2312"/>
        </w:rPr>
        <w:t>煤价格</w:t>
      </w:r>
      <w:r>
        <w:rPr>
          <w:rFonts w:hint="eastAsia" w:ascii="仿宋_GB2312" w:hAnsi="仿宋" w:eastAsia="仿宋_GB2312"/>
          <w:color w:val="000000"/>
        </w:rPr>
        <w:fldChar w:fldCharType="end"/>
      </w:r>
      <w:r>
        <w:rPr>
          <w:rFonts w:hint="eastAsia" w:ascii="仿宋_GB2312" w:hAnsi="仿宋" w:eastAsia="仿宋_GB2312"/>
          <w:color w:val="000000"/>
        </w:rPr>
        <w:t>均有不同程度的上涨，部分下游用户在库存高位的情况下，赶在大秦线检修以及煤价上涨之前，增加煤炭采购数量。今年夏季，火电发电量和电厂日耗均同比去年同期减少，华中、华南及华东很大一部分电量都是通过水电或者“西电东送”工程提供的，火电需求比较差。目前，经历了夏季的消耗后，南方下游电厂库存依旧很高，虽然有下游客户开始询价采购了，贸易商也开始囤积煤炭，但下游整体需求依旧比较低迷。截止9月初，全国重点电厂存煤7953万吨，同比增长1607万吨，存煤可用天数高达24天。其中，华东电厂存煤处于高位，且负荷较低。上电集团对其旗下的大漕泾电厂、吴泾二期和吴泾六期各停了1台机组，进行检修；截止9月11日，浙能电厂存煤（含接卸港和储煤基地）高达307万吨，日耗仅为6.9万吨，可用天数高达44天。广东方面，广东电厂存煤439万吨，可用天数21天。9月份，伴随着需求的减弱，日耗的走低，预计南方动力煤库存会继续走高。</w:t>
      </w:r>
    </w:p>
    <w:p>
      <w:pPr>
        <w:pStyle w:val="4"/>
        <w:shd w:val="clear" w:color="auto" w:fill="FFFFFF"/>
        <w:spacing w:before="0" w:beforeAutospacing="0" w:after="0" w:afterAutospacing="0" w:line="360" w:lineRule="auto"/>
        <w:ind w:firstLine="504" w:firstLineChars="210"/>
        <w:jc w:val="both"/>
        <w:rPr>
          <w:rFonts w:hint="eastAsia" w:ascii="仿宋_GB2312" w:hAnsi="仿宋" w:eastAsia="仿宋_GB2312"/>
          <w:color w:val="000000"/>
        </w:rPr>
      </w:pPr>
      <w:r>
        <w:rPr>
          <w:rFonts w:hint="eastAsia" w:ascii="仿宋_GB2312" w:hAnsi="仿宋" w:eastAsia="仿宋_GB2312"/>
        </w:rPr>
        <w:t>环渤海动力煤价指数与上周价格持平，最新报价482元/吨。</w:t>
      </w:r>
      <w:r>
        <w:rPr>
          <w:rFonts w:hint="eastAsia" w:ascii="仿宋_GB2312" w:hAnsi="仿宋" w:eastAsia="仿宋_GB2312"/>
          <w:vanish/>
        </w:rPr>
        <w:fldChar w:fldCharType="begin"/>
      </w:r>
      <w:r>
        <w:rPr>
          <w:rFonts w:hint="eastAsia" w:ascii="仿宋_GB2312" w:hAnsi="仿宋" w:eastAsia="仿宋_GB2312"/>
          <w:vanish/>
        </w:rPr>
        <w:instrText xml:space="preserve"> HYPERLINK "http://www.hibor.com.cn/" </w:instrText>
      </w:r>
      <w:r>
        <w:rPr>
          <w:rFonts w:hint="eastAsia" w:ascii="仿宋_GB2312" w:hAnsi="仿宋" w:eastAsia="仿宋_GB2312"/>
          <w:vanish/>
        </w:rPr>
        <w:fldChar w:fldCharType="separate"/>
      </w:r>
      <w:r>
        <w:rPr>
          <w:rStyle w:val="7"/>
          <w:rFonts w:hint="eastAsia" w:ascii="仿宋_GB2312" w:hAnsi="仿宋" w:eastAsia="仿宋_GB2312"/>
          <w:vanish/>
        </w:rPr>
        <w:t>www.hibor.com.cn【慧博投研资讯】</w:t>
      </w:r>
      <w:r>
        <w:rPr>
          <w:rFonts w:hint="eastAsia" w:ascii="仿宋_GB2312" w:hAnsi="仿宋" w:eastAsia="仿宋_GB2312"/>
          <w:vanish/>
        </w:rPr>
        <w:fldChar w:fldCharType="end"/>
      </w:r>
      <w:r>
        <w:rPr>
          <w:rFonts w:hint="eastAsia" w:ascii="仿宋_GB2312" w:hAnsi="仿宋" w:eastAsia="仿宋_GB2312"/>
        </w:rPr>
        <w:t>目前渤商所动力煤价格比传统现货价格低，煤炭企业可根据最近市场行情逢低买入，以降低成本。投资者可关注郑商所与渤商所动力煤，寻找跨市套利机会。个人投资者顺势而为，及时止盈止损。</w:t>
      </w:r>
    </w:p>
    <w:p>
      <w:pPr>
        <w:pStyle w:val="9"/>
        <w:tabs>
          <w:tab w:val="left" w:pos="7088"/>
        </w:tabs>
        <w:spacing w:line="360" w:lineRule="auto"/>
        <w:ind w:firstLine="0" w:firstLineChars="0"/>
        <w:rPr>
          <w:rFonts w:ascii="仿宋_GB2312" w:hAnsi="仿宋" w:eastAsia="仿宋_GB2312"/>
          <w:b/>
          <w:sz w:val="24"/>
        </w:rPr>
      </w:pPr>
    </w:p>
    <w:p>
      <w:pPr>
        <w:pStyle w:val="9"/>
        <w:tabs>
          <w:tab w:val="left" w:pos="7088"/>
        </w:tabs>
        <w:spacing w:line="360" w:lineRule="auto"/>
        <w:ind w:firstLine="0" w:firstLineChars="0"/>
        <w:rPr>
          <w:rFonts w:hint="eastAsia" w:ascii="仿宋_GB2312" w:hAnsi="仿宋" w:eastAsia="仿宋_GB2312"/>
          <w:b/>
          <w:sz w:val="24"/>
        </w:rPr>
      </w:pPr>
    </w:p>
    <w:p>
      <w:pPr>
        <w:pStyle w:val="9"/>
        <w:tabs>
          <w:tab w:val="left" w:pos="7088"/>
        </w:tabs>
        <w:spacing w:line="360" w:lineRule="auto"/>
        <w:ind w:firstLine="0" w:firstLineChars="0"/>
        <w:rPr>
          <w:rFonts w:hint="eastAsia" w:ascii="仿宋_GB2312" w:hAnsi="仿宋" w:eastAsia="仿宋_GB2312"/>
          <w:b/>
          <w:sz w:val="24"/>
        </w:rPr>
      </w:pPr>
      <w:r>
        <w:rPr>
          <w:rFonts w:hint="eastAsia" w:ascii="仿宋_GB2312" w:hAnsi="仿宋" w:eastAsia="仿宋_GB2312"/>
          <w:b/>
          <w:sz w:val="24"/>
        </w:rPr>
        <w:t>焦煤：下行持稳</w:t>
      </w:r>
    </w:p>
    <w:p>
      <w:pPr>
        <w:pStyle w:val="9"/>
        <w:tabs>
          <w:tab w:val="left" w:pos="7088"/>
        </w:tabs>
        <w:spacing w:line="360" w:lineRule="auto"/>
        <w:ind w:firstLine="480"/>
        <w:rPr>
          <w:rFonts w:ascii="仿宋_GB2312" w:hAnsi="仿宋" w:eastAsia="仿宋_GB2312"/>
          <w:sz w:val="24"/>
        </w:rPr>
      </w:pPr>
      <w:r>
        <w:rPr>
          <w:rFonts w:hint="eastAsia" w:ascii="仿宋_GB2312" w:hAnsi="仿宋" w:eastAsia="仿宋_GB2312"/>
          <w:sz w:val="24"/>
        </w:rPr>
        <w:t>本周焦煤价格下行持稳。周五渤海商品交易所焦煤出现</w:t>
      </w:r>
      <w:r>
        <w:rPr>
          <w:rFonts w:ascii="仿宋_GB2312" w:hAnsi="仿宋" w:eastAsia="仿宋_GB2312"/>
          <w:sz w:val="24"/>
        </w:rPr>
        <w:t>价格回升</w:t>
      </w:r>
      <w:r>
        <w:rPr>
          <w:rFonts w:hint="eastAsia" w:ascii="仿宋_GB2312" w:hAnsi="仿宋" w:eastAsia="仿宋_GB2312"/>
          <w:sz w:val="24"/>
        </w:rPr>
        <w:t>收于</w:t>
      </w:r>
      <w:r>
        <w:rPr>
          <w:rFonts w:ascii="仿宋_GB2312" w:hAnsi="仿宋" w:eastAsia="仿宋_GB2312"/>
          <w:sz w:val="24"/>
        </w:rPr>
        <w:t>593</w:t>
      </w:r>
      <w:r>
        <w:rPr>
          <w:rFonts w:hint="eastAsia" w:ascii="仿宋_GB2312" w:hAnsi="仿宋" w:eastAsia="仿宋_GB2312"/>
          <w:sz w:val="24"/>
        </w:rPr>
        <w:t>元，交易量与订货量稳定。</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本周国内炼焦煤市场延续平稳态势，煤企开工普遍较低，前期市场政府各种保价扶持政策逐步显效，炼焦煤库存普遍较低，下游需求走势良好。发改委再次召开会议遏制超产，供需关系有望长期得到改善。受钢材市场持续阴跌影响，煤价上涨受到较大阻力，煤企提涨意愿较强，然而下游企业仍将持续对原料市场进行施压，因此，短期内炼焦煤价格持稳概率较大。前期由于钢厂利润整体维持相对较高水平，因此粗钢产量不断上升加快了焦炭和焦煤行业的去库存化步伐，北方四港焦煤库存降至500万吨下方，为2012年11月以来最低点，这也是前期焦煤期货相对坚挺的原因之一。此外，前期煤炭行业“限产保价”政策频出亦对焦煤期货产生一定的提振作用。不过，螺纹钢和铁矿石持续暴跌引发了市场对煤焦钢整个产业链前景的担忧，焦炭和焦煤期货随即跟随下跌。</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数据显示，今年2月以来，我国商品房销售面积和房屋新开工面积均一直维持负增长的态势；房地产开发投资完成总额同比增长亦是连降6个月。房地产政策调控力度不减以及行业数据不佳加剧了市场的悲观情绪，市场对传统的“金九银十”不再抱有任何奢望。房地产行业的低迷意味着后市螺纹钢消费量将大幅减少，那么前期钢厂的高开工率势必会导致螺纹钢供应过度宽松，钢厂高利润难以持续，开工率将跟随利润减少而下降，这会直接引发钢厂减少对焦炭和焦煤的需求量。此外，由于现货市场普遍存在“买涨不买跌”的心理，因此螺纹钢价格暴跌会加大钢厂和钢贸企业的销售压力，螺纹钢库存有可能会大幅上升，这也将压缩钢厂利润。整体而言，房地产行业形势牵动着煤焦钢整个产业链，而当前房地产市场没有出现一丝好转迹象，也暗示着后市煤焦钢期价继续处于弱势格局概率较大。</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大商所1501合约价格与渤商所焦煤现价有一定价差，投资者可寻找跨市套利机会。个人投资者顺势而为，及时止盈止损。</w:t>
      </w:r>
    </w:p>
    <w:p>
      <w:pPr>
        <w:spacing w:line="360" w:lineRule="auto"/>
        <w:ind w:firstLine="480" w:firstLineChars="200"/>
        <w:rPr>
          <w:rFonts w:hint="eastAsia" w:ascii="仿宋_GB2312" w:hAnsi="仿宋" w:eastAsia="仿宋_GB2312"/>
          <w:sz w:val="24"/>
        </w:rPr>
      </w:pPr>
    </w:p>
    <w:p>
      <w:pPr>
        <w:pStyle w:val="9"/>
        <w:tabs>
          <w:tab w:val="left" w:pos="7088"/>
        </w:tabs>
        <w:spacing w:line="360" w:lineRule="auto"/>
        <w:ind w:firstLine="0" w:firstLineChars="0"/>
        <w:rPr>
          <w:rFonts w:hint="eastAsia" w:ascii="仿宋_GB2312" w:eastAsia="仿宋_GB2312"/>
          <w:b/>
          <w:sz w:val="24"/>
        </w:rPr>
      </w:pPr>
      <w:r>
        <w:rPr>
          <w:rFonts w:hint="eastAsia" w:ascii="仿宋_GB2312" w:eastAsia="仿宋_GB2312"/>
          <w:b/>
          <w:sz w:val="24"/>
        </w:rPr>
        <w:t>焦炭：下跌</w:t>
      </w:r>
    </w:p>
    <w:p>
      <w:pPr>
        <w:pStyle w:val="9"/>
        <w:tabs>
          <w:tab w:val="left" w:pos="7088"/>
        </w:tabs>
        <w:spacing w:line="360" w:lineRule="auto"/>
        <w:ind w:firstLine="480"/>
        <w:rPr>
          <w:rFonts w:ascii="仿宋_GB2312" w:eastAsia="仿宋_GB2312"/>
          <w:sz w:val="24"/>
        </w:rPr>
      </w:pPr>
      <w:r>
        <w:rPr>
          <w:rFonts w:hint="eastAsia" w:ascii="仿宋_GB2312" w:eastAsia="仿宋_GB2312"/>
          <w:sz w:val="24"/>
        </w:rPr>
        <w:t>本周焦煤价格呈下跌趋势。周五渤海商品交易所焦炭小幅上涨收于</w:t>
      </w:r>
      <w:r>
        <w:rPr>
          <w:rFonts w:ascii="仿宋_GB2312" w:eastAsia="仿宋_GB2312"/>
          <w:sz w:val="24"/>
        </w:rPr>
        <w:t>1012</w:t>
      </w:r>
      <w:r>
        <w:rPr>
          <w:rFonts w:hint="eastAsia" w:ascii="仿宋_GB2312" w:eastAsia="仿宋_GB2312"/>
          <w:sz w:val="24"/>
        </w:rPr>
        <w:t>元，交易量与订货量稳定。</w:t>
      </w:r>
    </w:p>
    <w:p>
      <w:pPr>
        <w:pStyle w:val="9"/>
        <w:tabs>
          <w:tab w:val="left" w:pos="7088"/>
        </w:tabs>
        <w:spacing w:line="360" w:lineRule="auto"/>
        <w:ind w:firstLine="480"/>
        <w:rPr>
          <w:rFonts w:ascii="仿宋_GB2312" w:eastAsia="仿宋_GB2312"/>
          <w:sz w:val="24"/>
        </w:rPr>
      </w:pPr>
      <w:r>
        <w:rPr>
          <w:rFonts w:hint="eastAsia" w:ascii="仿宋_GB2312" w:eastAsia="仿宋_GB2312"/>
          <w:sz w:val="24"/>
        </w:rPr>
        <w:t>本周国内焦炭市场整体持稳，月初局部地区再次表现出小幅下跌趋势，市场成交情况表现平稳。华北及中南地区整体持稳，少数地区小幅下调，其余多数地区表现平稳。九月份以来煤炭价格受国内煤矿限产保价措施影响，走势趋稳，而前期焦炭、矿石原料价格下跌明显，钢材价格由于缺乏成本支撑持续下行，处于产业链中间环节的焦化企业两头承压现象愈加明显，成本压力及下游的低需求使得多数焦化企业持续亏损，月初华北及华东等地部分焦企虽普遍小幅提涨，但市场表现较上周预期略为悲观，反弹力度仍显不足，预计本月上旬焦炭价格整体较难出现上行走势。</w:t>
      </w:r>
    </w:p>
    <w:p>
      <w:pPr>
        <w:pStyle w:val="9"/>
        <w:tabs>
          <w:tab w:val="left" w:pos="7088"/>
        </w:tabs>
        <w:spacing w:line="360" w:lineRule="auto"/>
        <w:ind w:firstLine="480"/>
        <w:rPr>
          <w:rFonts w:hint="eastAsia" w:ascii="仿宋_GB2312" w:eastAsia="仿宋_GB2312"/>
          <w:sz w:val="24"/>
        </w:rPr>
      </w:pPr>
      <w:r>
        <w:rPr>
          <w:rFonts w:hint="eastAsia" w:ascii="仿宋_GB2312" w:eastAsia="仿宋_GB2312"/>
          <w:sz w:val="24"/>
        </w:rPr>
        <w:t>华北地区焦化厂开工率80—85%，焦化企业多以出货为主，焦炭库存较低，钢材价格持续下跌的压力下，前一段时间主张提价的焦化厂不再喊涨，而提价无望转而以出货为主，销售有所好转。据观察华北地区钢厂焦炭库存仅8.5天左右、钢厂因库存低位采购正常，整体以平稳采购为主。短期内焦炭仍将维稳运行。目前现山西一级1000-1030二级830-840。唐山准一级1100-1130到厂、邯邢二级到厂960，邢台准一级焦邯邢到厂价980-1000元，山西二级焦860-890元、准一级焦920-960元。部分焦企付现汇价格优惠幅度明显，毕竟在资金紧张的情况下，增加现金流手中有钱才是王道。</w:t>
      </w:r>
    </w:p>
    <w:p>
      <w:pPr>
        <w:pStyle w:val="4"/>
        <w:shd w:val="clear" w:color="auto" w:fill="FFFFFF"/>
        <w:spacing w:before="0" w:beforeAutospacing="0" w:after="0" w:afterAutospacing="0" w:line="360" w:lineRule="auto"/>
        <w:ind w:firstLine="425" w:firstLineChars="177"/>
        <w:jc w:val="both"/>
        <w:rPr>
          <w:rFonts w:ascii="仿宋_GB2312" w:eastAsia="仿宋_GB2312"/>
        </w:rPr>
      </w:pPr>
      <w:r>
        <w:rPr>
          <w:rFonts w:hint="eastAsia" w:ascii="仿宋_GB2312" w:eastAsia="仿宋_GB2312"/>
        </w:rPr>
        <w:t>大商所</w:t>
      </w:r>
      <w:r>
        <w:rPr>
          <w:rFonts w:ascii="仿宋_GB2312" w:eastAsia="仿宋_GB2312"/>
        </w:rPr>
        <w:t>1501</w:t>
      </w:r>
      <w:r>
        <w:rPr>
          <w:rFonts w:hint="eastAsia" w:ascii="仿宋_GB2312" w:eastAsia="仿宋_GB2312"/>
        </w:rPr>
        <w:t>合约价格与渤商所焦煤现价有一定价差，投资者可寻找跨市套利机会。个人投资者顺势而为，及时止盈止损。</w:t>
      </w:r>
    </w:p>
    <w:p>
      <w:pPr>
        <w:pStyle w:val="4"/>
        <w:shd w:val="clear" w:color="auto" w:fill="FFFFFF"/>
        <w:spacing w:before="0" w:beforeAutospacing="0" w:after="0" w:afterAutospacing="0" w:line="360" w:lineRule="auto"/>
        <w:ind w:firstLine="425" w:firstLineChars="177"/>
        <w:jc w:val="both"/>
        <w:rPr>
          <w:rFonts w:hint="eastAsia" w:ascii="仿宋_GB2312" w:eastAsia="仿宋_GB2312"/>
        </w:rPr>
      </w:pPr>
    </w:p>
    <w:p>
      <w:pPr>
        <w:pStyle w:val="9"/>
        <w:tabs>
          <w:tab w:val="left" w:pos="7088"/>
        </w:tabs>
        <w:spacing w:line="360" w:lineRule="auto"/>
        <w:ind w:firstLine="0" w:firstLineChars="0"/>
        <w:rPr>
          <w:rFonts w:ascii="仿宋_GB2312" w:eastAsia="仿宋_GB2312"/>
          <w:b/>
          <w:sz w:val="24"/>
        </w:rPr>
      </w:pPr>
      <w:r>
        <w:rPr>
          <w:rFonts w:hint="eastAsia" w:ascii="仿宋_GB2312" w:hAnsi="仿宋_GB2312" w:eastAsia="仿宋_GB2312" w:cs="仿宋_GB2312"/>
          <w:b/>
          <w:bCs/>
          <w:sz w:val="24"/>
          <w:szCs w:val="24"/>
        </w:rPr>
        <w:t>焦炭（伟天）</w:t>
      </w:r>
      <w:r>
        <w:rPr>
          <w:rFonts w:hint="eastAsia" w:ascii="仿宋_GB2312" w:eastAsia="仿宋_GB2312"/>
          <w:b/>
          <w:sz w:val="24"/>
        </w:rPr>
        <w:t>：下跌</w:t>
      </w:r>
    </w:p>
    <w:p>
      <w:pPr>
        <w:pStyle w:val="9"/>
        <w:tabs>
          <w:tab w:val="left" w:pos="7088"/>
        </w:tabs>
        <w:spacing w:line="360" w:lineRule="auto"/>
        <w:ind w:firstLine="480"/>
        <w:rPr>
          <w:rFonts w:hint="eastAsia" w:ascii="仿宋_GB2312" w:eastAsia="仿宋_GB2312"/>
          <w:sz w:val="24"/>
        </w:rPr>
      </w:pPr>
      <w:r>
        <w:rPr>
          <w:rFonts w:hint="eastAsia" w:ascii="仿宋_GB2312" w:eastAsia="仿宋_GB2312"/>
          <w:sz w:val="24"/>
        </w:rPr>
        <w:t>本周</w:t>
      </w:r>
      <w:r>
        <w:rPr>
          <w:rFonts w:hint="eastAsia" w:ascii="仿宋_GB2312" w:hAnsi="仿宋_GB2312" w:eastAsia="仿宋_GB2312" w:cs="仿宋_GB2312"/>
          <w:sz w:val="24"/>
          <w:szCs w:val="24"/>
        </w:rPr>
        <w:t>焦炭（伟天）</w:t>
      </w:r>
      <w:r>
        <w:rPr>
          <w:rFonts w:hint="eastAsia" w:ascii="仿宋_GB2312" w:eastAsia="仿宋_GB2312"/>
          <w:sz w:val="24"/>
        </w:rPr>
        <w:t>价格下跌。周五渤海商品交易所</w:t>
      </w:r>
      <w:r>
        <w:rPr>
          <w:rFonts w:hint="eastAsia" w:ascii="仿宋_GB2312" w:hAnsi="仿宋_GB2312" w:eastAsia="仿宋_GB2312" w:cs="仿宋_GB2312"/>
          <w:sz w:val="24"/>
          <w:szCs w:val="24"/>
        </w:rPr>
        <w:t>焦炭伟天</w:t>
      </w:r>
      <w:r>
        <w:rPr>
          <w:rFonts w:hint="eastAsia" w:ascii="仿宋_GB2312" w:eastAsia="仿宋_GB2312"/>
          <w:sz w:val="24"/>
        </w:rPr>
        <w:t>收于1163元/吨，较上周上涨0.61%，交易量与订货量稳定。</w:t>
      </w:r>
    </w:p>
    <w:p>
      <w:pPr>
        <w:tabs>
          <w:tab w:val="left" w:pos="7088"/>
        </w:tabs>
        <w:spacing w:line="360" w:lineRule="auto"/>
        <w:ind w:firstLine="480"/>
        <w:rPr>
          <w:rFonts w:hint="eastAsia" w:ascii="仿宋_GB2312" w:eastAsia="仿宋_GB2312"/>
          <w:sz w:val="24"/>
        </w:rPr>
      </w:pPr>
      <w:bookmarkStart w:id="0" w:name="OLE_LINK1"/>
      <w:r>
        <w:rPr>
          <w:rFonts w:hint="eastAsia" w:ascii="仿宋_GB2312" w:eastAsia="仿宋_GB2312"/>
          <w:sz w:val="24"/>
        </w:rPr>
        <w:t>前期当螺纹钢期价跌至3000元/吨关口时，焦煤期货却一直坚挺地停留在800元/吨关口，不过在螺纹钢加快下跌步伐之后，焦煤期货再度失守800元/吨关口。预计焦煤期货后市还将维持下跌走势。煤焦钢齐创新低，市场情绪极度悲观。继螺纹钢和铁矿石期货创上市以来新低之后，近期焦炭和焦煤期货在加快下跌步伐之后也加入了“创新低”的行列当中，而下游房地产行业低迷是最主要的原因。前期由于钢厂利润整体维持相对较高水平，因此粗钢产量不断上升加快了焦炭和焦煤行业的去库存化步伐，北方四港焦煤库存降至500万吨下方，为2012年11月以来最低点，这也是前期焦煤期货相对坚挺的原因之一。此外，前期煤炭行业“限产保价”政策频出亦对焦煤期货产生一定的提振作用。不过，螺纹钢和铁矿石持续暴跌引发了市场对煤焦钢整个产业链前景的担忧，焦炭和焦煤期货随即跟随下跌。数据显示，今年2月以来，我国商品房销售面积和房屋新开工面积均一直维持负增长的态势；房地产开发投资完成总额同比增长亦是连降6个月。房地产政策调控力度不减以及行业数据不佳加剧了市场的悲观情绪，市场对传统的“金九银十”不再抱有任何奢望。房地产行业的低迷意味着后市螺纹钢消费量将大幅减少，那么前期钢厂的高开工率势必会导致螺纹钢供应过度宽松，钢厂高利润难以持续，开工率将跟随利润减少而下降，这会直接引发钢厂减少对焦炭和焦煤的需求量。此外，由于现货市场普遍存在“买涨不买跌”的心理，因此螺纹钢价格暴跌会加大钢厂和钢贸企业的销售压力，螺纹钢库存有可能会大幅上升，这也将压缩钢厂利润。整体而言，房地产行业形势牵动着煤焦钢整个产业链，而当前房地产市场没有出现一丝好转迹象，也暗示着后市煤焦钢期价继续处于弱势格局概率较大。</w:t>
      </w:r>
    </w:p>
    <w:p>
      <w:pPr>
        <w:tabs>
          <w:tab w:val="left" w:pos="7088"/>
        </w:tabs>
        <w:spacing w:line="360" w:lineRule="auto"/>
        <w:ind w:firstLine="480"/>
        <w:rPr>
          <w:rFonts w:hint="eastAsia" w:ascii="仿宋_GB2312" w:eastAsia="仿宋_GB2312"/>
          <w:sz w:val="24"/>
        </w:rPr>
      </w:pPr>
      <w:r>
        <w:rPr>
          <w:rFonts w:hint="eastAsia" w:ascii="仿宋_GB2312" w:eastAsia="仿宋_GB2312"/>
          <w:sz w:val="24"/>
        </w:rPr>
        <w:t>周五，</w:t>
      </w:r>
      <w:bookmarkEnd w:id="0"/>
      <w:r>
        <w:rPr>
          <w:rFonts w:hint="eastAsia" w:ascii="仿宋_GB2312" w:eastAsia="仿宋_GB2312"/>
          <w:sz w:val="24"/>
        </w:rPr>
        <w:t>渤商所</w:t>
      </w:r>
      <w:r>
        <w:rPr>
          <w:rFonts w:hint="eastAsia" w:ascii="仿宋_GB2312" w:hAnsi="仿宋_GB2312" w:eastAsia="仿宋_GB2312" w:cs="仿宋_GB2312"/>
          <w:sz w:val="24"/>
          <w:szCs w:val="24"/>
        </w:rPr>
        <w:t>焦炭（伟天）</w:t>
      </w:r>
      <w:r>
        <w:rPr>
          <w:rFonts w:hint="eastAsia" w:ascii="仿宋_GB2312" w:eastAsia="仿宋_GB2312"/>
          <w:sz w:val="24"/>
        </w:rPr>
        <w:t>价格比传统现货价格高，</w:t>
      </w:r>
      <w:r>
        <w:rPr>
          <w:rFonts w:hint="eastAsia" w:ascii="仿宋_GB2312" w:hAnsi="仿宋_GB2312" w:eastAsia="仿宋_GB2312" w:cs="仿宋_GB2312"/>
          <w:color w:val="000000"/>
          <w:sz w:val="24"/>
          <w:szCs w:val="24"/>
          <w:shd w:val="clear" w:color="auto" w:fill="F6F7F9"/>
        </w:rPr>
        <w:t>国内</w:t>
      </w:r>
      <w:r>
        <w:rPr>
          <w:rFonts w:hint="eastAsia" w:ascii="仿宋_GB2312" w:hAnsi="仿宋_GB2312" w:eastAsia="仿宋_GB2312" w:cs="仿宋_GB2312"/>
          <w:color w:val="000000"/>
          <w:sz w:val="24"/>
          <w:szCs w:val="24"/>
          <w:shd w:val="clear" w:color="auto" w:fill="F6F7F9"/>
        </w:rPr>
        <w:fldChar w:fldCharType="begin"/>
      </w:r>
      <w:r>
        <w:rPr>
          <w:rFonts w:hint="eastAsia" w:ascii="仿宋_GB2312" w:hAnsi="仿宋_GB2312" w:eastAsia="仿宋_GB2312" w:cs="仿宋_GB2312"/>
          <w:color w:val="000000"/>
          <w:sz w:val="24"/>
          <w:szCs w:val="24"/>
          <w:shd w:val="clear" w:color="auto" w:fill="F6F7F9"/>
        </w:rPr>
        <w:instrText xml:space="preserve">HYPERLINK "http://www.chemcp.com/news/price/jiaotan/"</w:instrText>
      </w:r>
      <w:r>
        <w:rPr>
          <w:rFonts w:hint="eastAsia" w:ascii="仿宋_GB2312" w:hAnsi="仿宋_GB2312" w:eastAsia="仿宋_GB2312" w:cs="仿宋_GB2312"/>
          <w:color w:val="000000"/>
          <w:sz w:val="24"/>
          <w:szCs w:val="24"/>
          <w:shd w:val="clear" w:color="auto" w:fill="F6F7F9"/>
        </w:rPr>
        <w:fldChar w:fldCharType="separate"/>
      </w:r>
      <w:r>
        <w:rPr>
          <w:rFonts w:hint="eastAsia" w:ascii="仿宋_GB2312" w:hAnsi="仿宋_GB2312" w:eastAsia="仿宋_GB2312" w:cs="仿宋_GB2312"/>
          <w:color w:val="000000"/>
          <w:sz w:val="24"/>
          <w:szCs w:val="24"/>
          <w:shd w:val="clear" w:color="auto" w:fill="F6F7F9"/>
        </w:rPr>
        <w:t>焦炭</w:t>
      </w:r>
      <w:r>
        <w:rPr>
          <w:rFonts w:hint="eastAsia" w:ascii="仿宋_GB2312" w:hAnsi="仿宋_GB2312" w:eastAsia="仿宋_GB2312" w:cs="仿宋_GB2312"/>
          <w:color w:val="000000"/>
          <w:sz w:val="24"/>
          <w:szCs w:val="24"/>
          <w:shd w:val="clear" w:color="auto" w:fill="F6F7F9"/>
        </w:rPr>
        <w:fldChar w:fldCharType="end"/>
      </w:r>
      <w:r>
        <w:rPr>
          <w:rFonts w:hint="eastAsia" w:ascii="仿宋_GB2312" w:hAnsi="仿宋_GB2312" w:eastAsia="仿宋_GB2312" w:cs="仿宋_GB2312"/>
          <w:color w:val="000000"/>
          <w:sz w:val="24"/>
          <w:szCs w:val="24"/>
          <w:shd w:val="clear" w:color="auto" w:fill="F6F7F9"/>
        </w:rPr>
        <w:t>市场震荡，</w:t>
      </w:r>
      <w:r>
        <w:rPr>
          <w:rFonts w:hint="eastAsia" w:ascii="仿宋_GB2312" w:hAnsi="仿宋_GB2312" w:eastAsia="仿宋_GB2312" w:cs="仿宋_GB2312"/>
          <w:sz w:val="24"/>
        </w:rPr>
        <w:t>焦化企业可根据最近市场行情逢高卖出，锁定利润</w:t>
      </w:r>
      <w:r>
        <w:rPr>
          <w:rFonts w:hint="eastAsia" w:ascii="仿宋_GB2312" w:eastAsia="仿宋_GB2312"/>
          <w:sz w:val="24"/>
        </w:rPr>
        <w:t>。投资者可关注大商所与渤商所</w:t>
      </w:r>
      <w:r>
        <w:rPr>
          <w:rFonts w:hint="eastAsia" w:ascii="仿宋_GB2312" w:hAnsi="仿宋_GB2312" w:eastAsia="仿宋_GB2312" w:cs="仿宋_GB2312"/>
          <w:sz w:val="24"/>
          <w:szCs w:val="24"/>
        </w:rPr>
        <w:t>焦炭伟天</w:t>
      </w:r>
      <w:r>
        <w:rPr>
          <w:rFonts w:hint="eastAsia" w:ascii="仿宋_GB2312" w:eastAsia="仿宋_GB2312"/>
          <w:sz w:val="24"/>
        </w:rPr>
        <w:t>价差，寻找跨市套利机会。个人投资者顺势而为，及时止盈止损。</w:t>
      </w:r>
    </w:p>
    <w:p>
      <w:pPr>
        <w:pStyle w:val="4"/>
        <w:shd w:val="clear" w:color="auto" w:fill="FFFFFF"/>
        <w:spacing w:before="0" w:beforeAutospacing="0" w:after="0" w:afterAutospacing="0" w:line="360" w:lineRule="auto"/>
        <w:ind w:firstLine="425" w:firstLineChars="177"/>
        <w:jc w:val="both"/>
        <w:rPr>
          <w:rFonts w:hint="eastAsia" w:ascii="仿宋_GB2312" w:eastAsia="仿宋_GB2312"/>
        </w:rPr>
      </w:pPr>
    </w:p>
    <w:p>
      <w:pPr>
        <w:widowControl/>
        <w:jc w:val="left"/>
        <w:rPr>
          <w:rFonts w:hAnsi="仿宋_GB2312"/>
          <w:b/>
          <w:bCs/>
          <w:sz w:val="36"/>
          <w:szCs w:val="36"/>
        </w:rPr>
      </w:pPr>
      <w:r>
        <w:rPr>
          <w:rFonts w:hAnsi="仿宋_GB2312"/>
          <w:b/>
          <w:bCs/>
          <w:sz w:val="36"/>
          <w:szCs w:val="36"/>
        </w:rPr>
        <w:br w:type="page"/>
      </w:r>
    </w:p>
    <w:p>
      <w:pPr>
        <w:widowControl/>
        <w:jc w:val="left"/>
        <w:rPr>
          <w:rFonts w:hAnsi="仿宋_GB2312"/>
          <w:b/>
          <w:bCs/>
          <w:sz w:val="36"/>
          <w:szCs w:val="36"/>
        </w:rPr>
      </w:pPr>
      <w:r>
        <w:rPr>
          <w:rFonts w:hAnsi="仿宋_GB2312"/>
          <w:b/>
          <w:bCs/>
          <w:sz w:val="36"/>
          <w:szCs w:val="36"/>
        </w:rPr>
        <w:t>【农林产品板块】</w:t>
      </w:r>
    </w:p>
    <w:p>
      <w:pPr>
        <w:spacing w:line="360" w:lineRule="auto"/>
        <w:rPr>
          <w:rFonts w:ascii="仿宋_GB2312" w:eastAsia="仿宋_GB2312"/>
          <w:b/>
          <w:sz w:val="24"/>
        </w:rPr>
      </w:pPr>
      <w:r>
        <w:rPr>
          <w:rFonts w:hint="eastAsia" w:ascii="仿宋_GB2312" w:eastAsia="仿宋_GB2312"/>
          <w:b/>
          <w:sz w:val="24"/>
        </w:rPr>
        <w:t>黑木耳:震荡整理</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本周渤商所黑木耳价格震荡整理，截止周五渤海商品交易所黑木耳尾盘收于53元/公斤，较上周下跌0.6元/公斤。本周黑木耳交收申报情况如下，买方申报交收475公斤,卖方申报交收6487135公斤，交收配对成功475公斤，成交量17588310公斤，成交金额940286480元，订货量23041590公斤。</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本周传统市场上黑木耳价格稳定，略有降低。北方主产区目前是秋耳大量上市的时期，立秋过后，北方天气昼夜温差大，雨水量减少，新采收的黑木耳品质极好，是全年中最好的黑木耳，深受市场青睐。本周传统市场上，市场人流量和活跃度都有所提高，南方部分客商前去采购优质黑木耳为囤货做准备，市场走货量有所提升。南方主产区目前依旧库存销售为主，由于今年库存木耳较往年多，到目前为止库存木耳依旧偏多，市场走货情况稍差，价格稳定。</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零售终端市场方面，本周是中秋过后第一周，市场销售情况恢复正常，中秋大促销过后，消费者手中尚有未消耗完毕的黑木耳，短时间内市场需求不大。虽9月10日是教师节，但送礼受严格控制，高档黑木耳销售量并不大。而各大学校开学，食堂需求量提升，中低档黑木耳销售稳定。</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渤商所黑木耳价格本周震荡整理，建议交易商密切关注国内黑木耳相关信息，比较价格差距，提前订立合同，锁定商品价格。</w:t>
      </w:r>
    </w:p>
    <w:p>
      <w:pPr>
        <w:spacing w:line="360" w:lineRule="auto"/>
        <w:rPr>
          <w:rFonts w:ascii="仿宋_GB2312" w:eastAsia="仿宋_GB2312"/>
          <w:b/>
          <w:sz w:val="24"/>
        </w:rPr>
      </w:pPr>
      <w:r>
        <w:rPr>
          <w:rFonts w:hint="eastAsia" w:ascii="仿宋_GB2312" w:eastAsia="仿宋_GB2312"/>
          <w:b/>
          <w:sz w:val="24"/>
        </w:rPr>
        <w:t>香菇：小幅上涨</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本周渤商所香菇价格小幅上涨，周五渤海商品交易所香菇尾盘收于106元/公斤，较上周上涨2.82元/公斤。截至周五本周香菇交收申报情况如下，买方申报交收1750公斤,卖方申报交收1730公斤，交收配对成功1730公斤。成交量10318360公斤，成交金额1084967472元，订货量17781300公斤。</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本周传统市场上香菇价格稳定，9月份依旧处于香菇采收和销售淡季，随着淡季时间逐渐推移，市场库存香菇逐渐减少，货源紧张。香菇储存需要良好的硬件条件，气温、湿度、温度都有严格的要求，随着淡季时间推移，贸易商储存成本提高，因此香菇近期销售价格稳定，并有小幅上升趋势。近年来，随着栽培技术的提升，反季节香菇盛行，近期陕西、河南、湖北以及北方大部分地区陆陆续续有反季节香菇上市，而反季节香菇正好能填补市场鲜品空缺，基本鲜销为主，供不应求，市场价格可观，让菇农在市场空缺阶段有额外收入，促进菇农增收。深加工行业方面，香菇以其独特的味道和营养价值博得消费者青睐，无论作为主料还是配料都是极好的食材，香菇、香菇脚等深加工产品层出不穷，近几年香菇深加工行业发展迅猛，香菇市场需求提升。</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本周是中秋节后第一周，零售终端市场香菇高端产品销售情况恢复正常，由于中秋节送礼高峰过后，消费者手中暂时有未消耗完毕的香菇，短时间内需求量不大。而本月是开学季又逢教师节，学校各大食堂开通，中低档香菇需求量提升，市场销量稳定。</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渤商所香菇价格小幅上涨，建议交易商密切关注国内香菇相关信息，根据实际需求，提前订立合同，锁定商品价格。</w:t>
      </w:r>
    </w:p>
    <w:p>
      <w:pPr>
        <w:ind w:firstLine="480"/>
        <w:rPr>
          <w:rFonts w:ascii="Calibri" w:hAnsi="Calibri"/>
        </w:rPr>
      </w:pPr>
    </w:p>
    <w:p>
      <w:pPr>
        <w:widowControl/>
        <w:jc w:val="left"/>
        <w:rPr>
          <w:rFonts w:hAnsi="仿宋_GB2312"/>
          <w:b/>
          <w:bCs/>
          <w:sz w:val="36"/>
          <w:szCs w:val="36"/>
        </w:rPr>
      </w:pPr>
      <w:r>
        <w:rPr>
          <w:rFonts w:hAnsi="仿宋_GB2312"/>
          <w:b/>
          <w:bCs/>
          <w:sz w:val="36"/>
          <w:szCs w:val="36"/>
        </w:rPr>
        <w:br w:type="page"/>
      </w:r>
    </w:p>
    <w:p>
      <w:pPr>
        <w:spacing w:beforeLines="100" w:line="360" w:lineRule="auto"/>
        <w:outlineLvl w:val="0"/>
        <w:rPr>
          <w:rFonts w:hAnsi="仿宋_GB2312"/>
          <w:b/>
          <w:bCs/>
          <w:sz w:val="36"/>
          <w:szCs w:val="36"/>
        </w:rPr>
      </w:pPr>
      <w:r>
        <w:rPr>
          <w:rFonts w:hAnsi="仿宋_GB2312"/>
          <w:b/>
          <w:bCs/>
          <w:sz w:val="36"/>
          <w:szCs w:val="36"/>
        </w:rPr>
        <w:t>【石油化工板块】</w:t>
      </w:r>
    </w:p>
    <w:p>
      <w:pPr>
        <w:spacing w:beforeLines="50" w:line="360" w:lineRule="auto"/>
        <w:jc w:val="center"/>
        <w:rPr>
          <w:rFonts w:ascii="仿宋_GB2312" w:eastAsia="仿宋_GB2312"/>
          <w:b/>
          <w:sz w:val="28"/>
          <w:szCs w:val="24"/>
        </w:rPr>
      </w:pPr>
      <w:r>
        <w:rPr>
          <w:rFonts w:hint="eastAsia" w:ascii="仿宋_GB2312" w:eastAsia="仿宋_GB2312"/>
          <w:b/>
          <w:sz w:val="28"/>
          <w:szCs w:val="24"/>
        </w:rPr>
        <w:t>润滑油基础油恩格</w:t>
      </w:r>
    </w:p>
    <w:p>
      <w:pPr>
        <w:pStyle w:val="9"/>
        <w:spacing w:line="360" w:lineRule="auto"/>
        <w:ind w:firstLine="240" w:firstLineChars="100"/>
        <w:rPr>
          <w:rFonts w:ascii="仿宋_GB2312" w:eastAsia="仿宋_GB2312"/>
          <w:sz w:val="24"/>
          <w:szCs w:val="24"/>
        </w:rPr>
      </w:pPr>
      <w:r>
        <w:rPr>
          <w:rFonts w:hint="eastAsia" w:ascii="仿宋_GB2312" w:eastAsia="仿宋_GB2312"/>
          <w:sz w:val="24"/>
          <w:szCs w:val="24"/>
        </w:rPr>
        <w:t>渤商所润滑油基础油恩格:本周润滑油基础油恩格开盘价6.97元/公斤、最高价7.97元/公斤、最低价6.94元/公斤、收盘价7.92元/公斤。</w:t>
      </w:r>
    </w:p>
    <w:p>
      <w:pPr>
        <w:spacing w:line="360" w:lineRule="auto"/>
        <w:ind w:firstLine="240" w:firstLineChars="100"/>
        <w:rPr>
          <w:rFonts w:ascii="仿宋_GB2312" w:eastAsia="仿宋_GB2312"/>
          <w:sz w:val="24"/>
          <w:szCs w:val="24"/>
        </w:rPr>
      </w:pPr>
      <w:r>
        <w:rPr>
          <w:rFonts w:hint="eastAsia" w:ascii="仿宋_GB2312" w:eastAsia="仿宋_GB2312"/>
          <w:sz w:val="24"/>
          <w:szCs w:val="24"/>
        </w:rPr>
        <w:t>国际原油：</w:t>
      </w:r>
      <w:r>
        <w:rPr>
          <w:rFonts w:ascii="仿宋_GB2312" w:eastAsia="仿宋_GB2312"/>
          <w:sz w:val="24"/>
          <w:szCs w:val="24"/>
        </w:rPr>
        <w:t>国际油价震荡下行，市场担忧成本压力缓和引发市场价格下跌，看跌气氛不断升温。多数炼厂虽维持装置低负荷运行，但库存压力仍在不断升温，高库存炼厂价格下行压力加大。汽柴油市场迎来“四连跌”预期，基础油市场观望气氛升温，担忧情绪弥漫。</w:t>
      </w:r>
    </w:p>
    <w:p>
      <w:pPr>
        <w:spacing w:line="360" w:lineRule="auto"/>
        <w:ind w:firstLine="240" w:firstLineChars="100"/>
        <w:rPr>
          <w:rFonts w:ascii="仿宋_GB2312" w:eastAsia="仿宋_GB2312"/>
          <w:sz w:val="24"/>
          <w:szCs w:val="24"/>
        </w:rPr>
      </w:pPr>
      <w:r>
        <w:rPr>
          <w:rFonts w:hint="eastAsia" w:ascii="仿宋_GB2312" w:eastAsia="仿宋_GB2312"/>
          <w:sz w:val="24"/>
          <w:szCs w:val="24"/>
        </w:rPr>
        <w:t>现货润滑油基础油：国内现货市场，</w:t>
      </w:r>
      <w:r>
        <w:rPr>
          <w:rFonts w:ascii="仿宋_GB2312" w:eastAsia="仿宋_GB2312"/>
          <w:sz w:val="24"/>
          <w:szCs w:val="24"/>
        </w:rPr>
        <w:t>因部分炼厂装置检修，市场供应面出现一定收紧，但总体供应仍较为充裕，部分炼厂仍面临较为严重的库存压力，本周个别炼厂价格继续呈现下跌态势。润滑油终端需求表现清淡，下游调和企业生产积极性始终较为低迷，对于基础油的采购也以按需购进为主，大单备货寥寥。汽柴四连跌预期引发市场看跌情绪升温，买涨不买跌心态也对市场交投形成不利影响。商家对于旺季不旺的担忧持续加深，且部分企业面临资金链困难，操作空间有限。</w:t>
      </w:r>
    </w:p>
    <w:p>
      <w:pPr>
        <w:spacing w:line="360" w:lineRule="auto"/>
        <w:ind w:firstLine="240" w:firstLineChars="100"/>
      </w:pPr>
      <w:r>
        <w:rPr>
          <w:rFonts w:hint="eastAsia" w:ascii="仿宋_GB2312" w:eastAsia="仿宋_GB2312"/>
          <w:sz w:val="24"/>
          <w:szCs w:val="24"/>
        </w:rPr>
        <w:t>本周渤商所润滑油基础油恩格基本持小幅上涨，盘面价格低于现货价格1.10元/公斤左右，现货商可根据自身需求在盘面订立B20010合同。</w:t>
      </w:r>
    </w:p>
    <w:p>
      <w:pPr>
        <w:spacing w:beforeLines="50" w:line="360" w:lineRule="auto"/>
        <w:jc w:val="center"/>
        <w:rPr>
          <w:rFonts w:ascii="仿宋_GB2312" w:eastAsia="仿宋_GB2312"/>
          <w:b/>
          <w:sz w:val="28"/>
          <w:szCs w:val="24"/>
        </w:rPr>
      </w:pPr>
      <w:r>
        <w:rPr>
          <w:rFonts w:hint="eastAsia" w:ascii="仿宋_GB2312" w:eastAsia="仿宋_GB2312"/>
          <w:b/>
          <w:sz w:val="28"/>
          <w:szCs w:val="24"/>
        </w:rPr>
        <w:t>PTA&amp;MEG&amp;PET：PX重心下跌，利润重心向下游转移</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渤商所PTA&amp;MEG&amp;PET:</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渤商所PTA本周开盘价6932元/吨、最高价6948元/吨、最低价6670元/吨、收盘价6738元/吨、均价6702元/吨。</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渤商所MEG本周开盘价7111元/吨、最高价7266元/吨、最低价6772元/吨、收盘价6910元/吨、均价6856元/吨。</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渤商所PET本周开盘价8250元/吨、最高价9198元/吨、最低价9250元/吨、收盘价8352元/吨、均价8788元/吨。</w:t>
      </w:r>
    </w:p>
    <w:p>
      <w:pPr>
        <w:spacing w:line="360" w:lineRule="auto"/>
        <w:ind w:left="105" w:leftChars="50" w:firstLine="361" w:firstLineChars="150"/>
        <w:rPr>
          <w:rFonts w:ascii="仿宋_GB2312" w:eastAsia="仿宋_GB2312"/>
          <w:b/>
          <w:sz w:val="24"/>
          <w:szCs w:val="24"/>
        </w:rPr>
      </w:pPr>
      <w:r>
        <w:rPr>
          <w:rFonts w:hint="eastAsia" w:ascii="仿宋_GB2312" w:eastAsia="仿宋_GB2312"/>
          <w:b/>
          <w:sz w:val="24"/>
          <w:szCs w:val="24"/>
        </w:rPr>
        <w:t>PTA：PX持续走低，PTA继续下行。</w:t>
      </w:r>
    </w:p>
    <w:p>
      <w:pPr>
        <w:spacing w:line="360" w:lineRule="auto"/>
        <w:ind w:left="105" w:leftChars="50" w:firstLine="360" w:firstLineChars="150"/>
        <w:rPr>
          <w:rFonts w:ascii="仿宋_GB2312" w:eastAsia="仿宋_GB2312"/>
          <w:sz w:val="24"/>
          <w:szCs w:val="24"/>
        </w:rPr>
      </w:pPr>
      <w:r>
        <w:rPr>
          <w:rFonts w:hint="eastAsia" w:ascii="仿宋_GB2312" w:eastAsia="仿宋_GB2312"/>
          <w:sz w:val="24"/>
          <w:szCs w:val="24"/>
        </w:rPr>
        <w:t>本周PTA现货行情原料PX价格下跌的影响呈现步步阴跌的走势，华东市场价格从上周五的6950元/吨下跌至6730元/吨，跌幅达3.2%。原料PX方面，目前上游市场疲软，原油及石脑油价格逐步阴跌；本周PX生产利润在50-70美元/吨之间，利润尚可。在利润的驱使下，开工增加、新产能释放，预计预期10月亚洲PX市场供应过剩约66.3万吨，远高于9月；同时造成PX市场库存高企、出货压力增大。以上因素综合影响下，原料PX价格步步走低，由上周五的1255美元/吨下降至目前的1215美元/吨。随着PTA定价模式的转变，原料PX的变化对PTA行情影响巨大，目前PX疲软难改，PTA跟随下降。</w:t>
      </w:r>
    </w:p>
    <w:p>
      <w:pPr>
        <w:spacing w:line="360" w:lineRule="auto"/>
        <w:ind w:left="105" w:leftChars="50" w:firstLine="360" w:firstLineChars="150"/>
        <w:rPr>
          <w:rFonts w:ascii="仿宋_GB2312" w:eastAsia="仿宋_GB2312"/>
          <w:sz w:val="24"/>
          <w:szCs w:val="24"/>
        </w:rPr>
      </w:pPr>
      <w:r>
        <w:rPr>
          <w:rFonts w:hint="eastAsia" w:ascii="仿宋_GB2312" w:eastAsia="仿宋_GB2312"/>
          <w:sz w:val="24"/>
          <w:szCs w:val="24"/>
        </w:rPr>
        <w:t>本周在PTA价格步步下跌的情况下，PTA工厂仍在控制负荷，按需定产，本周PTA的开工率由上周五的57.1%小幅下跌至目前的54.4%，相对于聚酯开工，PTA市场供应进一步锁紧。PTA工厂的联合限产行动，一方面一定程度上降低了PTA现货价格下跌程度，一方面维持PTA现货生产现金流情况。</w:t>
      </w:r>
    </w:p>
    <w:p>
      <w:pPr>
        <w:spacing w:line="360" w:lineRule="auto"/>
        <w:ind w:left="105" w:leftChars="50" w:firstLine="360" w:firstLineChars="150"/>
        <w:rPr>
          <w:rFonts w:ascii="仿宋_GB2312" w:eastAsia="仿宋_GB2312"/>
          <w:sz w:val="24"/>
          <w:szCs w:val="24"/>
        </w:rPr>
      </w:pPr>
      <w:r>
        <w:rPr>
          <w:rFonts w:hint="eastAsia" w:ascii="仿宋_GB2312" w:eastAsia="仿宋_GB2312"/>
          <w:sz w:val="24"/>
          <w:szCs w:val="24"/>
        </w:rPr>
        <w:t>随着上游原料PX的逐步阴跌，虽下游各环节产品价格出现不同程度的下跌，但生产利润得到了很大的转移。本周下游聚酯生产利润进一步增加。终端织造方面，本周开工负荷小幅提升78%，旺季特征一般。所以，聚酯虽生产效益良好，但由于终端需求不畅，聚酯产销有所回落，由周初的100%降至目前的70%左右。故本周聚酯开工曾试探上涨，但终在产销压力下不得不继续维持在70.8%附近。综合以上，预计短期聚酯产业链整体维持弱势，原料端暂无较大利好支撑，PTA维持弱势。</w:t>
      </w:r>
    </w:p>
    <w:p>
      <w:pPr>
        <w:spacing w:line="360" w:lineRule="auto"/>
        <w:ind w:firstLine="482" w:firstLineChars="200"/>
        <w:rPr>
          <w:rFonts w:ascii="仿宋_GB2312" w:eastAsia="仿宋_GB2312"/>
          <w:sz w:val="24"/>
          <w:szCs w:val="24"/>
        </w:rPr>
      </w:pPr>
      <w:r>
        <w:rPr>
          <w:rFonts w:hint="eastAsia" w:ascii="仿宋_GB2312" w:eastAsia="仿宋_GB2312"/>
          <w:b/>
          <w:sz w:val="24"/>
          <w:szCs w:val="24"/>
        </w:rPr>
        <w:t>MEG：上下游偏弱，MEG一路向下。</w:t>
      </w:r>
      <w:r>
        <w:rPr>
          <w:rFonts w:hint="eastAsia" w:ascii="仿宋_GB2312" w:eastAsia="仿宋_GB2312"/>
          <w:sz w:val="24"/>
          <w:szCs w:val="24"/>
        </w:rPr>
        <w:t>本周MEG现货市场继续走低，华东市场主流价格由上周五的7140元/吨跌至6730元/吨，跌幅达5.7%，继上周PTA跌破7000大关之后，MEG在本周也跌破7000大关。从基本面角度来看，本周原料乙烯方面，由于供应偏紧，乙烯市场价格震荡调整，周四乙烯东北亚价格上涨10美元/吨至1540美元/吨，为MEG提供一定的成本支撑；但是PTA市场的偏弱表现，对对MEG有一定拖累作用；近期下游聚酯厂家采购气氛依然偏淡，对MEG难有提振作用。综合以上，预计短期内MEG或继续弱势震荡。</w:t>
      </w:r>
    </w:p>
    <w:p>
      <w:pPr>
        <w:spacing w:line="360" w:lineRule="auto"/>
        <w:ind w:firstLine="482" w:firstLineChars="200"/>
        <w:rPr>
          <w:rFonts w:ascii="仿宋_GB2312" w:eastAsia="仿宋_GB2312"/>
          <w:sz w:val="24"/>
          <w:szCs w:val="24"/>
        </w:rPr>
      </w:pPr>
      <w:r>
        <w:rPr>
          <w:rFonts w:hint="eastAsia" w:ascii="仿宋_GB2312" w:eastAsia="仿宋_GB2312"/>
          <w:b/>
          <w:sz w:val="24"/>
          <w:szCs w:val="24"/>
        </w:rPr>
        <w:t>PET：终端织回暖不足，聚酯产品利润增加。</w:t>
      </w:r>
      <w:r>
        <w:rPr>
          <w:rFonts w:hint="eastAsia" w:ascii="仿宋_GB2312" w:eastAsia="仿宋_GB2312"/>
          <w:sz w:val="24"/>
          <w:szCs w:val="24"/>
        </w:rPr>
        <w:t>受上游原料PX价格连续阴跌的影响，本周聚酯切片现货市场行情也出现了小幅走跌，华东市场半光且片价格下跌50元/吨至现在的8900元/吨，涤纶产品价格也出现了不同程度的下滑，涤纶短纤由9610元/吨下调至9460元/吨，长丝POY价格由9800元/吨下调至9700元/吨。虽下游各环节产品价格出现不同程度的下跌，但生产利润得到了很大的转移。本周下游聚酯生产利润进一步增加。具体来看，聚酯切片的现货生产利润由上周五的140元/吨激增至目前的330元/吨左右，涤纶短纤的生产利润由450元/吨增加至540元/吨，长丝POY的生产效益最好，由440元/吨增加至580元/吨。终端织造方面，本周开工负荷小幅提升78%，旺季特征一般。所以，聚酯虽生产效益良好，但由于终端需求不畅，聚酯产销有所回落，由周初的100%降至目前的70%左右。故本周聚酯开工曾试探上涨，但终在产销压力下不得不继续维持在70.8%附近。</w:t>
      </w:r>
    </w:p>
    <w:p>
      <w:pPr>
        <w:spacing w:beforeLines="50" w:line="360" w:lineRule="auto"/>
        <w:ind w:firstLine="480" w:firstLineChars="200"/>
        <w:rPr>
          <w:rFonts w:ascii="仿宋_GB2312" w:eastAsia="仿宋_GB2312"/>
          <w:sz w:val="24"/>
          <w:szCs w:val="24"/>
        </w:rPr>
      </w:pPr>
      <w:r>
        <w:rPr>
          <w:rFonts w:hint="eastAsia" w:ascii="仿宋_GB2312" w:eastAsia="仿宋_GB2312"/>
          <w:sz w:val="24"/>
          <w:szCs w:val="24"/>
        </w:rPr>
        <w:t>本周渤商PTA价格震荡下跌，盘面价格与现货价格价差范围为-30~100元/吨，在目前国内PTA产能严重过剩的情况下，企业可选择在渤商所订立卖出合同，增加销售渠道；也可选择在渤商所订立买入合同，或随采随用。</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本周渤商MEG前期震荡下跌，除周二外，渤商所盘面价格比现货价格低，价差在-30~-50元/吨范间窄幅变化。在目前MEG下游需求疲弱，MEG销售不畅的情况下，企业可选择在渤商所订立卖出合同，增加销售渠道；也可选择在渤商所订立买入合同，或随采随用。</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本周渤商PET波动较大，价差方面除12日外渤商所盘面价格比现货价格低，价差范围在-900~-20元/吨之间，价差范围很大。在化纤产业链产能过剩，行情疲软的情况下，企业可根据自身需求在盘面订立合同，增加销售渠道；也可选择在渤商所订立买入合同，或随采随用。</w:t>
      </w:r>
    </w:p>
    <w:p>
      <w:pPr>
        <w:spacing w:beforeLines="50" w:line="360" w:lineRule="auto"/>
        <w:jc w:val="center"/>
        <w:outlineLvl w:val="0"/>
        <w:rPr>
          <w:rFonts w:ascii="仿宋_GB2312" w:eastAsia="仿宋_GB2312"/>
          <w:b/>
          <w:sz w:val="28"/>
          <w:szCs w:val="28"/>
        </w:rPr>
      </w:pPr>
      <w:r>
        <w:rPr>
          <w:rFonts w:hint="eastAsia" w:ascii="仿宋_GB2312" w:eastAsia="仿宋_GB2312"/>
          <w:b/>
          <w:sz w:val="28"/>
          <w:szCs w:val="28"/>
        </w:rPr>
        <w:t>ABS（华南）B20012：</w:t>
      </w:r>
      <w:r>
        <w:rPr>
          <w:rFonts w:ascii="仿宋_GB2312" w:eastAsia="仿宋_GB2312"/>
          <w:b/>
          <w:sz w:val="28"/>
          <w:szCs w:val="28"/>
        </w:rPr>
        <w:t>窄幅震荡</w:t>
      </w:r>
    </w:p>
    <w:p>
      <w:pPr>
        <w:spacing w:line="360" w:lineRule="auto"/>
        <w:ind w:firstLine="480" w:firstLineChars="200"/>
        <w:outlineLvl w:val="0"/>
        <w:rPr>
          <w:rFonts w:ascii="仿宋_GB2312" w:eastAsia="仿宋_GB2312"/>
          <w:sz w:val="24"/>
        </w:rPr>
      </w:pPr>
      <w:r>
        <w:rPr>
          <w:rFonts w:hint="eastAsia" w:ascii="仿宋_GB2312" w:eastAsia="仿宋_GB2312"/>
          <w:sz w:val="24"/>
        </w:rPr>
        <w:t>本周渤商所ABS树脂华南</w:t>
      </w:r>
      <w:r>
        <w:rPr>
          <w:rFonts w:ascii="仿宋_GB2312" w:eastAsia="仿宋_GB2312"/>
          <w:sz w:val="24"/>
        </w:rPr>
        <w:t>窄幅震荡</w:t>
      </w:r>
      <w:r>
        <w:rPr>
          <w:rFonts w:hint="eastAsia" w:ascii="仿宋_GB2312" w:eastAsia="仿宋_GB2312"/>
          <w:sz w:val="24"/>
        </w:rPr>
        <w:t>。开盘的</w:t>
      </w:r>
      <w:r>
        <w:rPr>
          <w:rFonts w:ascii="仿宋_GB2312" w:eastAsia="仿宋_GB2312"/>
          <w:sz w:val="24"/>
        </w:rPr>
        <w:t>14.45</w:t>
      </w:r>
      <w:r>
        <w:rPr>
          <w:rFonts w:hint="eastAsia" w:ascii="仿宋_GB2312" w:eastAsia="仿宋_GB2312"/>
          <w:sz w:val="24"/>
        </w:rPr>
        <w:t>元/公斤，最高为</w:t>
      </w:r>
      <w:r>
        <w:rPr>
          <w:rFonts w:ascii="仿宋_GB2312" w:eastAsia="仿宋_GB2312"/>
          <w:sz w:val="24"/>
        </w:rPr>
        <w:t>14.5</w:t>
      </w:r>
      <w:r>
        <w:rPr>
          <w:rFonts w:hint="eastAsia" w:ascii="仿宋_GB2312" w:eastAsia="仿宋_GB2312"/>
          <w:sz w:val="24"/>
        </w:rPr>
        <w:t>元/公斤，最低</w:t>
      </w:r>
      <w:r>
        <w:rPr>
          <w:rFonts w:ascii="仿宋_GB2312" w:eastAsia="仿宋_GB2312"/>
          <w:sz w:val="24"/>
        </w:rPr>
        <w:t>14.3</w:t>
      </w:r>
      <w:r>
        <w:rPr>
          <w:rFonts w:hint="eastAsia" w:ascii="仿宋_GB2312" w:eastAsia="仿宋_GB2312"/>
          <w:sz w:val="24"/>
        </w:rPr>
        <w:t>元/公斤，周五尾盘收于14.49元/公斤，周涨0.02元/吨，涨跌幅0.14%，结算价14</w:t>
      </w:r>
      <w:r>
        <w:rPr>
          <w:rFonts w:ascii="仿宋_GB2312" w:eastAsia="仿宋_GB2312"/>
          <w:sz w:val="24"/>
        </w:rPr>
        <w:t>.</w:t>
      </w:r>
      <w:r>
        <w:rPr>
          <w:rFonts w:hint="eastAsia" w:ascii="仿宋_GB2312" w:eastAsia="仿宋_GB2312"/>
          <w:sz w:val="24"/>
        </w:rPr>
        <w:t>39元/公斤。</w:t>
      </w:r>
    </w:p>
    <w:p>
      <w:pPr>
        <w:spacing w:line="360" w:lineRule="auto"/>
        <w:ind w:firstLine="480" w:firstLineChars="200"/>
        <w:outlineLvl w:val="0"/>
        <w:rPr>
          <w:rFonts w:ascii="仿宋_GB2312" w:eastAsia="仿宋_GB2312"/>
          <w:sz w:val="24"/>
        </w:rPr>
      </w:pPr>
      <w:r>
        <w:rPr>
          <w:rFonts w:hint="eastAsia" w:ascii="仿宋_GB2312" w:eastAsia="仿宋_GB2312"/>
          <w:sz w:val="24"/>
        </w:rPr>
        <w:t>中秋节后，国内ABS市场价格延续下跌走势，成交不多。国际油价大幅下跌，单体苯乙烯价格连跌不止，石化售价相继下调，市场悲观气氛浓厚，贸易商多纷纷让价出货，但下游需求持续疲软，整体成交稀少。目前国内ABS市场均价在14544元/吨，与上周同期相比下跌103元/吨。从各地市场表现情况看：本周国内ABS市场价继续下跌，单体苯乙烯价格连跌不止，部分石化售价下调，以及终端需求持续乏力，贸易商多小幅让价出货，整体成交不多。华东市场本周货源稳定，商家心态谨慎，观望为主，买盘意向偏淡，成交平平，市场价格变动不大，中后期略有走软。华南市场本周观望气氛浓重，商谈疲软，商家货源供应稳定，心态趋稳，按单谨慎出货，受上游原料及国际市场影响，场内商家信心略显松动，成交欠佳，多低端徘徊，本周商家报盘大稳小动，周后期多数价格报盘窄幅回跌。本周国际原油价格（WTI）呈连续下跌走势，与上周同期相比跌幅高达4.05%。利空云集，国际油价大幅下跌，布伦特油价有效跌破100美元的关键价位。美元强势对油价施压、美国非农数据不及预期、中国月度进口额下降、乌克兰东部达成停火协议，均对油价构成负面影响。周三9月10日WTI、布伦特收盘价分别为91.67美元/桶、98.04美元/桶，与上周同期相比分别下跌3.87美元/桶、4.73美元/桶。国际油价大幅下跌，单体苯乙烯价格连续下行，石化售价相继下调，以及终端需求持续疲软，市场看空氛围依旧浓厚，预计下周ABS市场价格继续下行。</w:t>
      </w:r>
    </w:p>
    <w:p>
      <w:pPr>
        <w:spacing w:line="360" w:lineRule="auto"/>
        <w:ind w:firstLine="480" w:firstLineChars="200"/>
        <w:outlineLvl w:val="0"/>
        <w:rPr>
          <w:rFonts w:ascii="仿宋_GB2312" w:eastAsia="仿宋_GB2312"/>
          <w:sz w:val="24"/>
        </w:rPr>
      </w:pPr>
      <w:r>
        <w:rPr>
          <w:rFonts w:hint="eastAsia" w:ascii="仿宋_GB2312" w:eastAsia="仿宋_GB2312"/>
          <w:sz w:val="24"/>
        </w:rPr>
        <w:t>本周渤商所ABS树脂华南平均结算价为14390元/吨，传统东莞现货HI121H平均价格为14563元/吨，757K平均价格为15100元/吨，15A1平均价格为15100元/吨，渤商所周平均价格与以上各品牌价差分别为1</w:t>
      </w:r>
      <w:r>
        <w:rPr>
          <w:rFonts w:ascii="仿宋_GB2312" w:eastAsia="仿宋_GB2312"/>
          <w:sz w:val="24"/>
        </w:rPr>
        <w:t>73</w:t>
      </w:r>
      <w:r>
        <w:rPr>
          <w:rFonts w:hint="eastAsia" w:ascii="仿宋_GB2312" w:eastAsia="仿宋_GB2312"/>
          <w:sz w:val="24"/>
        </w:rPr>
        <w:t>元/吨，710元/吨，710元/吨，存在一定价差。企业可以根据自身情况通过渤商所订立合同随采随用或增加销售渠道及时出货。</w:t>
      </w:r>
    </w:p>
    <w:p>
      <w:pPr>
        <w:spacing w:beforeLines="50" w:line="360" w:lineRule="auto"/>
        <w:jc w:val="center"/>
        <w:rPr>
          <w:rFonts w:ascii="仿宋_GB2312" w:eastAsia="仿宋_GB2312"/>
          <w:b/>
          <w:sz w:val="28"/>
          <w:szCs w:val="24"/>
        </w:rPr>
      </w:pPr>
      <w:r>
        <w:rPr>
          <w:rFonts w:hint="eastAsia" w:ascii="仿宋_GB2312" w:eastAsia="仿宋_GB2312"/>
          <w:b/>
          <w:sz w:val="28"/>
          <w:szCs w:val="24"/>
        </w:rPr>
        <w:t>聚丙烯拉丝级（中轻）</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渤商所聚丙烯拉丝级（中轻）本周开盘价11302元/吨、最高价11323元/吨、最低价10710元/吨、收盘价11162元/吨、均价11244元/吨。</w:t>
      </w:r>
    </w:p>
    <w:p>
      <w:pPr>
        <w:spacing w:line="360" w:lineRule="auto"/>
        <w:ind w:firstLine="482" w:firstLineChars="200"/>
        <w:rPr>
          <w:rFonts w:ascii="仿宋_GB2312" w:eastAsia="仿宋_GB2312"/>
          <w:sz w:val="24"/>
          <w:szCs w:val="24"/>
        </w:rPr>
      </w:pPr>
      <w:r>
        <w:rPr>
          <w:rFonts w:hint="eastAsia" w:ascii="仿宋_GB2312" w:eastAsia="仿宋_GB2312"/>
          <w:b/>
          <w:sz w:val="24"/>
          <w:szCs w:val="24"/>
        </w:rPr>
        <w:t>上游原料;</w:t>
      </w:r>
      <w:r>
        <w:rPr>
          <w:rFonts w:hint="eastAsia" w:ascii="仿宋_GB2312" w:eastAsia="仿宋_GB2312"/>
          <w:sz w:val="24"/>
          <w:szCs w:val="24"/>
        </w:rPr>
        <w:t>本周国际原油价格（WTI）呈连续下跌走势，布伦特油价有效跌破100美元的关键价位,利空云集，国际油价大幅下跌。美元强势对油价施压、美国非农数据不及预期、中国月度进口额下降、乌克兰东部达成停火协议，石油输出国组织(OPEC)在最新的月度报告中降低了对其所出产石油的全球范围需求预期，均对油价构成负面影响。周三9月10日WTI、布伦特收盘价分别为91.67美元/桶、98.04美元/桶，与上周同期相比分别下跌3.87美元/桶、4.73美元/桶。</w:t>
      </w:r>
    </w:p>
    <w:p>
      <w:pPr>
        <w:spacing w:line="360" w:lineRule="auto"/>
        <w:ind w:firstLine="482" w:firstLineChars="200"/>
        <w:rPr>
          <w:rFonts w:ascii="仿宋_GB2312" w:eastAsia="仿宋_GB2312"/>
          <w:sz w:val="24"/>
          <w:szCs w:val="24"/>
        </w:rPr>
      </w:pPr>
      <w:r>
        <w:rPr>
          <w:rFonts w:hint="eastAsia" w:ascii="仿宋_GB2312" w:eastAsia="仿宋_GB2312"/>
          <w:b/>
          <w:sz w:val="24"/>
          <w:szCs w:val="24"/>
        </w:rPr>
        <w:t>聚丙烯现货市场：原料、需求、装置多方面影响，PP价格持续下跌。</w:t>
      </w:r>
      <w:r>
        <w:rPr>
          <w:rFonts w:hint="eastAsia" w:ascii="仿宋_GB2312" w:eastAsia="仿宋_GB2312"/>
          <w:sz w:val="24"/>
          <w:szCs w:val="24"/>
        </w:rPr>
        <w:t> </w:t>
      </w:r>
    </w:p>
    <w:p>
      <w:pPr>
        <w:spacing w:line="360" w:lineRule="auto"/>
        <w:ind w:firstLine="480" w:firstLineChars="200"/>
        <w:rPr>
          <w:rFonts w:ascii="仿宋_GB2312" w:eastAsia="仿宋_GB2312"/>
          <w:sz w:val="24"/>
          <w:szCs w:val="24"/>
        </w:rPr>
      </w:pPr>
      <w:r>
        <w:rPr>
          <w:rFonts w:ascii="仿宋_GB2312" w:eastAsia="仿宋_GB2312"/>
          <w:sz w:val="24"/>
          <w:szCs w:val="24"/>
        </w:rPr>
        <w:t>本周粒料拉丝级产品市场均价为11298元/吨，粉料为11178元/吨，与上周同期相比，PP市场价涨幅分别为-136、-60元/吨。国际油价大幅下跌，且布伦特油价跌破100美元的关键价位，PP期货价格连续</w:t>
      </w:r>
      <w:r>
        <w:rPr>
          <w:rFonts w:hint="eastAsia" w:ascii="仿宋_GB2312" w:eastAsia="仿宋_GB2312"/>
          <w:sz w:val="24"/>
          <w:szCs w:val="24"/>
        </w:rPr>
        <w:t>下跌</w:t>
      </w:r>
      <w:r>
        <w:rPr>
          <w:rFonts w:ascii="仿宋_GB2312" w:eastAsia="仿宋_GB2312"/>
          <w:sz w:val="24"/>
          <w:szCs w:val="24"/>
        </w:rPr>
        <w:t>，严重打压市场人气；</w:t>
      </w:r>
      <w:r>
        <w:rPr>
          <w:rFonts w:hint="eastAsia" w:ascii="仿宋_GB2312" w:eastAsia="仿宋_GB2312"/>
          <w:sz w:val="24"/>
          <w:szCs w:val="24"/>
        </w:rPr>
        <w:t>近期新增煤化工产能对PP市场冲击较大，石化企业售价承压下行， PP粒料拉丝级产品市场价普跌50-300元/吨不等；受买涨不买跌影响，目前下游后加工企业观望较多，接货意愿不强，对PP市场形成抑制。</w:t>
      </w:r>
      <w:r>
        <w:rPr>
          <w:rFonts w:ascii="仿宋_GB2312" w:eastAsia="仿宋_GB2312"/>
          <w:sz w:val="24"/>
          <w:szCs w:val="24"/>
        </w:rPr>
        <w:t>节后归来，现货市场人气难以聚集，下游用户入市接货者不多，对市场多持谨慎观望态度，市场成交清淡。贸易商谨慎跟跌出货。</w:t>
      </w:r>
      <w:r>
        <w:rPr>
          <w:rFonts w:hint="eastAsia" w:ascii="仿宋_GB2312" w:eastAsia="仿宋_GB2312"/>
          <w:sz w:val="24"/>
          <w:szCs w:val="24"/>
        </w:rPr>
        <w:t>鉴于国际油价将保持震荡下行走势、石化企业继续降价促销的可能性较大，以及终端需求启动缓慢，市场上看空氛围浓厚，预计随后一周PP市场延续下跌走势。建议业内人士加强对石化企业销售政策、市场实际供需情况及聚丙烯期货的关注力度。</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本周渤商所PP价格变化不大，盘面价格低于华东现货市场价格150-200元/吨左右，生产企业可选择在渤商所订立买入合同，或随采随用；也可在目前国内PP产能严重过剩的情况下，在渤商所订立卖出合同，增加销售渠道。</w:t>
      </w:r>
    </w:p>
    <w:p>
      <w:pPr>
        <w:spacing w:beforeLines="50" w:line="360" w:lineRule="auto"/>
        <w:jc w:val="center"/>
        <w:rPr>
          <w:rFonts w:ascii="仿宋_GB2312" w:eastAsia="仿宋_GB2312"/>
          <w:b/>
          <w:sz w:val="28"/>
          <w:szCs w:val="24"/>
        </w:rPr>
      </w:pPr>
      <w:r>
        <w:rPr>
          <w:rFonts w:hint="eastAsia" w:ascii="仿宋_GB2312" w:eastAsia="仿宋_GB2312"/>
          <w:b/>
          <w:sz w:val="28"/>
          <w:szCs w:val="24"/>
        </w:rPr>
        <w:t>PVC（山东）&amp;PVC（华东）</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渤商所PVC（山东）本周开盘价5910元/吨、最高价5984元/吨、最低价5910元/吨、收盘价5978元/吨、均价5974元/吨。</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渤商所PVC（华东）本周开盘价6138元/吨、最高价6199元/吨、最低价5660元/吨、收盘价6161元/吨、均价6159元/吨。</w:t>
      </w:r>
    </w:p>
    <w:p>
      <w:pPr>
        <w:spacing w:line="360" w:lineRule="auto"/>
        <w:ind w:firstLine="482" w:firstLineChars="200"/>
        <w:rPr>
          <w:rFonts w:ascii="仿宋_GB2312" w:eastAsia="仿宋_GB2312"/>
          <w:sz w:val="24"/>
          <w:szCs w:val="24"/>
        </w:rPr>
      </w:pPr>
      <w:r>
        <w:rPr>
          <w:rFonts w:hint="eastAsia" w:ascii="仿宋_GB2312" w:eastAsia="仿宋_GB2312"/>
          <w:b/>
          <w:sz w:val="24"/>
          <w:szCs w:val="24"/>
        </w:rPr>
        <w:t>原料电石：</w:t>
      </w:r>
      <w:r>
        <w:rPr>
          <w:rFonts w:hint="eastAsia" w:ascii="仿宋_GB2312" w:eastAsia="仿宋_GB2312"/>
          <w:sz w:val="24"/>
          <w:szCs w:val="24"/>
        </w:rPr>
        <w:t> 本周部分PVC生产企业检修，电石外卖，北元开工负荷下降，电石用量减少。同时，新增电石产能产量有所增加，电石供需的拉锯局面延续。下游极力支撑当前价格，仍不愿主动涨价。因此本周电石价格整体维持稳定，仅个别有暗箱操作零星微调现象。</w:t>
      </w:r>
    </w:p>
    <w:p>
      <w:pPr>
        <w:spacing w:line="360" w:lineRule="auto"/>
        <w:ind w:firstLine="482" w:firstLineChars="200"/>
        <w:rPr>
          <w:rFonts w:ascii="仿宋_GB2312" w:eastAsia="仿宋_GB2312"/>
          <w:sz w:val="24"/>
          <w:szCs w:val="24"/>
        </w:rPr>
      </w:pPr>
      <w:r>
        <w:rPr>
          <w:rFonts w:hint="eastAsia" w:ascii="仿宋_GB2312" w:eastAsia="仿宋_GB2312"/>
          <w:b/>
          <w:sz w:val="24"/>
          <w:szCs w:val="24"/>
        </w:rPr>
        <w:t>PVC现货市场：价格坚挺，整体稳定。</w:t>
      </w:r>
      <w:r>
        <w:rPr>
          <w:rFonts w:hint="eastAsia" w:ascii="仿宋_GB2312" w:eastAsia="仿宋_GB2312"/>
          <w:sz w:val="24"/>
          <w:szCs w:val="24"/>
        </w:rPr>
        <w:t>继上周国内PVC市场小幅上涨后，由于下游需求依旧疲软，继续拉涨存在一定阻力，市场整体呈现稳定局面，局部因为货源少仍有小幅上涨趋势。PVC生产企业出厂价整体稳定，企业库存较低，大部分生产企业出厂价有望保持或稳或涨态势，对PVC市场形成一定支撑，部分地区市场货源偏紧，贸易商小幅提高报价，对PVC市场形成一定提振；但下游后加工企业开工率不高，入市接货兴趣低迷，成交清淡，仍按需采购，有效需求依旧疲软继续利空PVC市场价格。</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本周渤商所PVC(山东)价格延续上涨，幅度在50元/吨左右，PVC（华东）先上涨，后下跌，临近周末又呈现上涨趋势，盘面价格与华东主流市场价格高出50-60元/吨左右，生产企业可选择在渤商所订立买入合同，或随采随用；也可在目前国内PP产能严重过剩的情况下，在渤商所订立卖出合同，增加销售渠道。</w:t>
      </w:r>
    </w:p>
    <w:p>
      <w:pPr>
        <w:widowControl/>
        <w:spacing w:line="360" w:lineRule="auto"/>
        <w:ind w:firstLine="602" w:firstLineChars="250"/>
        <w:jc w:val="left"/>
        <w:rPr>
          <w:rFonts w:ascii="仿宋_GB2312" w:eastAsia="仿宋_GB2312"/>
          <w:b/>
          <w:sz w:val="24"/>
          <w:szCs w:val="24"/>
        </w:rPr>
      </w:pPr>
      <w:bookmarkStart w:id="1" w:name="_GoBack"/>
      <w:bookmarkEnd w:id="1"/>
    </w:p>
    <w:p>
      <w:pPr>
        <w:widowControl/>
        <w:spacing w:line="360" w:lineRule="auto"/>
        <w:ind w:firstLine="602" w:firstLineChars="250"/>
        <w:jc w:val="left"/>
        <w:rPr>
          <w:rFonts w:ascii="仿宋_GB2312" w:eastAsia="仿宋_GB2312"/>
          <w:b/>
          <w:sz w:val="24"/>
          <w:szCs w:val="24"/>
        </w:rPr>
      </w:pPr>
    </w:p>
    <w:p>
      <w:pPr>
        <w:widowControl/>
        <w:spacing w:line="360" w:lineRule="auto"/>
        <w:ind w:firstLine="602" w:firstLineChars="250"/>
        <w:jc w:val="left"/>
        <w:rPr>
          <w:rFonts w:ascii="宋体" w:hAnsi="宋体" w:cs="宋体"/>
          <w:b/>
          <w:kern w:val="0"/>
          <w:sz w:val="24"/>
          <w:szCs w:val="24"/>
        </w:rPr>
      </w:pPr>
    </w:p>
    <w:p>
      <w:pPr>
        <w:widowControl/>
        <w:spacing w:line="360" w:lineRule="auto"/>
        <w:ind w:firstLine="602" w:firstLineChars="250"/>
        <w:jc w:val="left"/>
        <w:rPr>
          <w:rFonts w:ascii="宋体" w:hAnsi="宋体" w:cs="宋体"/>
          <w:b/>
          <w:kern w:val="0"/>
          <w:sz w:val="24"/>
          <w:szCs w:val="24"/>
        </w:rPr>
      </w:pPr>
      <w:r>
        <w:rPr>
          <w:rFonts w:ascii="宋体" w:hAnsi="宋体" w:cs="宋体"/>
          <w:b/>
          <w:kern w:val="0"/>
          <w:sz w:val="24"/>
          <w:szCs w:val="24"/>
        </w:rPr>
        <w:t>免责声明：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买卖出价，投资者据此做出的任何投资决策与本公司和作者无关。</w:t>
      </w:r>
    </w:p>
    <w:p/>
    <w:sectPr>
      <w:head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altName w:val="微软雅黑"/>
    <w:panose1 w:val="020F0502020204030204"/>
    <w:charset w:val="00"/>
    <w:family w:val="auto"/>
    <w:pitch w:val="default"/>
    <w:sig w:usb0="E10002FF" w:usb1="4000ACFF" w:usb2="00000009" w:usb3="00000000" w:csb0="0000019F" w:csb1="00000000"/>
  </w:font>
  <w:font w:name="ˎ̥">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00000000"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paragraph" w:styleId="2">
    <w:name w:val="footer"/>
    <w:basedOn w:val="1"/>
    <w:link w:val="19"/>
    <w:unhideWhenUsed/>
    <w:uiPriority w:val="99"/>
    <w:pPr>
      <w:tabs>
        <w:tab w:val="center" w:pos="4153"/>
        <w:tab w:val="right" w:pos="8306"/>
      </w:tabs>
      <w:snapToGrid w:val="0"/>
      <w:jc w:val="left"/>
    </w:pPr>
    <w:rPr>
      <w:rFonts w:ascii="Calibri" w:hAnsi="Calibri" w:eastAsia="宋体"/>
      <w:sz w:val="18"/>
      <w:szCs w:val="18"/>
    </w:rPr>
  </w:style>
  <w:style w:type="paragraph" w:styleId="3">
    <w:name w:val="header"/>
    <w:basedOn w:val="1"/>
    <w:link w:val="18"/>
    <w:unhideWhenUsed/>
    <w:uiPriority w:val="0"/>
    <w:pPr>
      <w:pBdr>
        <w:bottom w:val="single" w:color="auto" w:sz="6" w:space="1"/>
      </w:pBdr>
      <w:tabs>
        <w:tab w:val="center" w:pos="4153"/>
        <w:tab w:val="right" w:pos="8306"/>
      </w:tabs>
      <w:snapToGrid w:val="0"/>
      <w:jc w:val="center"/>
    </w:pPr>
    <w:rPr>
      <w:rFonts w:ascii="Calibri" w:hAnsi="Calibri" w:eastAsia="宋体"/>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22"/>
    <w:rPr>
      <w:b/>
      <w:bCs/>
    </w:rPr>
  </w:style>
  <w:style w:type="character" w:styleId="7">
    <w:name w:val="Hyperlink"/>
    <w:basedOn w:val="5"/>
    <w:uiPriority w:val="0"/>
    <w:rPr>
      <w:rFonts w:hint="default" w:ascii="ˎ̥" w:hAnsi="ˎ̥"/>
      <w:color w:val="000000"/>
      <w:u w:val="none"/>
    </w:rPr>
  </w:style>
  <w:style w:type="paragraph" w:customStyle="1" w:styleId="8">
    <w:name w:val="列出段落11"/>
    <w:uiPriority w:val="0"/>
    <w:pPr>
      <w:ind w:firstLine="420" w:firstLineChars="200"/>
    </w:pPr>
    <w:rPr>
      <w:rFonts w:ascii="Calibri" w:hAnsi="Calibri" w:eastAsia="宋体" w:cs="Times New Roman"/>
      <w:kern w:val="0"/>
      <w:sz w:val="20"/>
      <w:szCs w:val="20"/>
    </w:rPr>
  </w:style>
  <w:style w:type="paragraph" w:customStyle="1" w:styleId="9">
    <w:name w:val="List Paragraph"/>
    <w:basedOn w:val="1"/>
    <w:qFormat/>
    <w:uiPriority w:val="0"/>
    <w:pPr>
      <w:ind w:firstLine="420" w:firstLineChars="200"/>
    </w:pPr>
    <w:rPr>
      <w:rFonts w:ascii="Calibri" w:hAnsi="Calibri"/>
      <w:szCs w:val="22"/>
    </w:rPr>
  </w:style>
  <w:style w:type="paragraph" w:customStyle="1" w:styleId="10">
    <w:name w:val="列出段落1"/>
    <w:basedOn w:val="1"/>
    <w:uiPriority w:val="0"/>
    <w:pPr>
      <w:ind w:firstLine="420" w:firstLineChars="200"/>
    </w:pPr>
    <w:rPr>
      <w:rFonts w:ascii="Calibri" w:hAnsi="Calibri"/>
      <w:szCs w:val="22"/>
    </w:rPr>
  </w:style>
  <w:style w:type="paragraph" w:customStyle="1" w:styleId="11">
    <w:name w:val="列出段落2"/>
    <w:basedOn w:val="1"/>
    <w:uiPriority w:val="0"/>
    <w:pPr>
      <w:ind w:firstLine="420" w:firstLineChars="200"/>
    </w:pPr>
    <w:rPr>
      <w:rFonts w:ascii="Calibri" w:hAnsi="Calibri"/>
      <w:szCs w:val="22"/>
    </w:rPr>
  </w:style>
  <w:style w:type="paragraph" w:customStyle="1" w:styleId="12">
    <w:name w:val="列出段落3"/>
    <w:basedOn w:val="1"/>
    <w:uiPriority w:val="0"/>
    <w:pPr>
      <w:ind w:firstLine="420" w:firstLineChars="200"/>
    </w:pPr>
    <w:rPr>
      <w:rFonts w:ascii="Calibri" w:hAnsi="Calibri"/>
      <w:szCs w:val="22"/>
    </w:rPr>
  </w:style>
  <w:style w:type="paragraph" w:customStyle="1" w:styleId="13">
    <w:name w:val="列出段落4"/>
    <w:basedOn w:val="1"/>
    <w:uiPriority w:val="0"/>
    <w:pPr>
      <w:ind w:firstLine="420" w:firstLineChars="200"/>
    </w:pPr>
    <w:rPr>
      <w:rFonts w:ascii="Calibri" w:hAnsi="Calibri"/>
      <w:szCs w:val="22"/>
    </w:rPr>
  </w:style>
  <w:style w:type="paragraph" w:customStyle="1" w:styleId="14">
    <w:name w:val="列出段落5"/>
    <w:basedOn w:val="1"/>
    <w:uiPriority w:val="0"/>
    <w:pPr>
      <w:ind w:firstLine="420" w:firstLineChars="200"/>
    </w:pPr>
    <w:rPr>
      <w:rFonts w:ascii="Calibri" w:hAnsi="Calibri"/>
      <w:szCs w:val="22"/>
    </w:rPr>
  </w:style>
  <w:style w:type="paragraph" w:customStyle="1" w:styleId="15">
    <w:name w:val="列出段落6"/>
    <w:basedOn w:val="1"/>
    <w:uiPriority w:val="0"/>
    <w:pPr>
      <w:ind w:firstLine="420" w:firstLineChars="200"/>
    </w:pPr>
    <w:rPr>
      <w:rFonts w:ascii="Calibri" w:hAnsi="Calibri"/>
      <w:szCs w:val="22"/>
    </w:rPr>
  </w:style>
  <w:style w:type="paragraph" w:customStyle="1" w:styleId="16">
    <w:name w:val="列出段落7"/>
    <w:basedOn w:val="1"/>
    <w:uiPriority w:val="99"/>
    <w:pPr>
      <w:ind w:firstLine="420" w:firstLineChars="200"/>
    </w:pPr>
    <w:rPr>
      <w:rFonts w:ascii="Calibri" w:hAnsi="Calibri"/>
      <w:szCs w:val="22"/>
    </w:rPr>
  </w:style>
  <w:style w:type="paragraph" w:customStyle="1" w:styleId="17">
    <w:name w:val="List Paragraph1"/>
    <w:basedOn w:val="1"/>
    <w:uiPriority w:val="99"/>
    <w:pPr>
      <w:ind w:firstLine="420" w:firstLineChars="200"/>
    </w:pPr>
    <w:rPr>
      <w:rFonts w:ascii="Calibri" w:hAnsi="Calibri"/>
      <w:szCs w:val="22"/>
    </w:rPr>
  </w:style>
  <w:style w:type="character" w:customStyle="1" w:styleId="18">
    <w:name w:val="页眉 Char"/>
    <w:basedOn w:val="5"/>
    <w:link w:val="3"/>
    <w:uiPriority w:val="0"/>
    <w:rPr>
      <w:sz w:val="18"/>
      <w:szCs w:val="18"/>
    </w:rPr>
  </w:style>
  <w:style w:type="character" w:customStyle="1" w:styleId="19">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1400</Words>
  <Characters>7983</Characters>
  <Lines>66</Lines>
  <Paragraphs>18</Paragraphs>
  <ScaleCrop>false</ScaleCrop>
  <LinksUpToDate>false</LinksUpToDate>
  <CharactersWithSpaces>0</CharactersWithSpaces>
  <Application>WPS Office 个人版_9.1.0.4843_{F1E327BC-269C-435d-A152-05C5408002CA}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2014-06-27T09:27:00Z</dcterms:created>
  <dc:creator>user</dc:creator>
  <cp:lastModifiedBy>Administrator</cp:lastModifiedBy>
  <dcterms:modified xsi:type="dcterms:W3CDTF">2014-09-12T09:34:33Z</dcterms:modified>
  <dc:title>【煤炭能源板块】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