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73" w:rsidRDefault="00D945F3">
      <w:pPr>
        <w:pStyle w:val="10"/>
        <w:tabs>
          <w:tab w:val="left" w:pos="7088"/>
        </w:tabs>
        <w:spacing w:line="360" w:lineRule="auto"/>
        <w:ind w:firstLineChars="0" w:firstLine="0"/>
        <w:rPr>
          <w:rFonts w:ascii="仿宋_GB2312" w:eastAsia="仿宋_GB2312"/>
          <w:b/>
          <w:sz w:val="24"/>
        </w:rPr>
      </w:pPr>
      <w:r>
        <w:rPr>
          <w:rFonts w:hAnsi="仿宋_GB2312"/>
          <w:b/>
          <w:bCs/>
          <w:sz w:val="36"/>
          <w:szCs w:val="36"/>
        </w:rPr>
        <w:t>【</w:t>
      </w:r>
      <w:r>
        <w:rPr>
          <w:rFonts w:hAnsi="仿宋_GB2312" w:hint="eastAsia"/>
          <w:b/>
          <w:bCs/>
          <w:sz w:val="36"/>
          <w:szCs w:val="36"/>
        </w:rPr>
        <w:t>煤炭能源</w:t>
      </w:r>
      <w:r>
        <w:rPr>
          <w:rFonts w:hAnsi="仿宋_GB2312"/>
          <w:b/>
          <w:bCs/>
          <w:sz w:val="36"/>
          <w:szCs w:val="36"/>
        </w:rPr>
        <w:t>板块】</w:t>
      </w:r>
    </w:p>
    <w:p w:rsidR="007C7048" w:rsidRDefault="007C7048" w:rsidP="007C7048">
      <w:pPr>
        <w:tabs>
          <w:tab w:val="left" w:pos="7088"/>
        </w:tabs>
        <w:spacing w:line="360" w:lineRule="auto"/>
        <w:rPr>
          <w:rFonts w:ascii="仿宋_GB2312" w:eastAsia="仿宋_GB2312"/>
          <w:b/>
          <w:sz w:val="24"/>
        </w:rPr>
      </w:pPr>
      <w:r>
        <w:rPr>
          <w:rFonts w:ascii="仿宋_GB2312" w:eastAsia="仿宋_GB2312" w:hint="eastAsia"/>
          <w:b/>
          <w:sz w:val="24"/>
        </w:rPr>
        <w:t>动力煤：小幅下跌</w:t>
      </w:r>
    </w:p>
    <w:p w:rsidR="007C7048" w:rsidRDefault="007C7048" w:rsidP="007C7048">
      <w:pPr>
        <w:tabs>
          <w:tab w:val="left" w:pos="7088"/>
        </w:tabs>
        <w:spacing w:line="360" w:lineRule="auto"/>
        <w:ind w:firstLineChars="200" w:firstLine="480"/>
        <w:rPr>
          <w:rFonts w:ascii="仿宋_GB2312" w:eastAsia="仿宋_GB2312" w:hAnsi="仿宋"/>
          <w:sz w:val="24"/>
          <w:szCs w:val="24"/>
        </w:rPr>
      </w:pPr>
      <w:r>
        <w:rPr>
          <w:rFonts w:ascii="仿宋_GB2312" w:eastAsia="仿宋_GB2312" w:hAnsi="仿宋" w:hint="eastAsia"/>
          <w:sz w:val="24"/>
          <w:szCs w:val="24"/>
        </w:rPr>
        <w:t>本周秦皇岛海运煤炭交易市场发布的环渤海动力</w:t>
      </w:r>
      <w:hyperlink r:id="rId8" w:tgtFrame="http://news.cqcoal.com/a/xinwenzixun/meishizhouping/2014/1114/_blank" w:history="1">
        <w:r>
          <w:rPr>
            <w:rStyle w:val="a7"/>
            <w:rFonts w:ascii="仿宋_GB2312" w:eastAsia="仿宋_GB2312" w:hAnsi="仿宋" w:hint="eastAsia"/>
            <w:sz w:val="24"/>
            <w:szCs w:val="24"/>
          </w:rPr>
          <w:t>煤价格</w:t>
        </w:r>
      </w:hyperlink>
      <w:r>
        <w:rPr>
          <w:rFonts w:ascii="仿宋_GB2312" w:eastAsia="仿宋_GB2312" w:hAnsi="仿宋" w:hint="eastAsia"/>
          <w:sz w:val="24"/>
          <w:szCs w:val="24"/>
        </w:rPr>
        <w:t>指数报收于509元/吨，本报告期（11月5日至11月11日）比前一报告期上涨了3元/吨。秦皇岛港动力煤品种价格止涨走平。秦皇岛4500大卡热量动力煤价格为400-410元/吨；5000大卡发热量动力煤价格为445-455元/吨；5500大卡发热量动力煤价格为505-515元/吨；5800大卡发热量动力煤价格为545-555元/吨。由于秦皇岛港对前期企业提价的反应较为充分,加之近期港存迅速上扬,本周价格上升动能迅速减弱。</w:t>
      </w:r>
    </w:p>
    <w:p w:rsidR="007C7048" w:rsidRDefault="007C7048" w:rsidP="007C7048">
      <w:pPr>
        <w:tabs>
          <w:tab w:val="left" w:pos="7088"/>
        </w:tabs>
        <w:spacing w:line="360" w:lineRule="auto"/>
        <w:rPr>
          <w:rFonts w:ascii="仿宋_GB2312" w:eastAsia="仿宋_GB2312" w:hAnsi="仿宋"/>
          <w:sz w:val="24"/>
          <w:szCs w:val="24"/>
        </w:rPr>
      </w:pPr>
      <w:r>
        <w:rPr>
          <w:rFonts w:ascii="仿宋_GB2312" w:eastAsia="仿宋_GB2312" w:hAnsi="仿宋" w:hint="eastAsia"/>
          <w:sz w:val="24"/>
          <w:szCs w:val="24"/>
        </w:rPr>
        <w:t xml:space="preserve">    </w:t>
      </w:r>
      <w:hyperlink r:id="rId9" w:tgtFrame="http://news.cqcoal.com/a/xinwenzixun/meishizhouping/2014/1114/_blank" w:history="1">
        <w:r>
          <w:rPr>
            <w:rStyle w:val="a7"/>
            <w:rFonts w:ascii="仿宋_GB2312" w:eastAsia="仿宋_GB2312" w:hAnsi="仿宋" w:hint="eastAsia"/>
            <w:sz w:val="24"/>
            <w:szCs w:val="24"/>
          </w:rPr>
          <w:t>环渤海动力煤价格指数</w:t>
        </w:r>
      </w:hyperlink>
      <w:r>
        <w:rPr>
          <w:rFonts w:ascii="仿宋_GB2312" w:eastAsia="仿宋_GB2312" w:hAnsi="仿宋" w:hint="eastAsia"/>
          <w:sz w:val="24"/>
          <w:szCs w:val="24"/>
        </w:rPr>
        <w:t>的运行结果表明，价格持平的规格品数量迅速增加，而价格上涨的港口规格品数量迅速减少，该地区动力煤交易价格上涨动能出现衰减；价格指数的涨幅由前一期的9元/吨快速收缩至3元/吨；自9月初止跌回升以来，截止到本期，价格指数已经累计回升了31元/吨、提高了6.5%。</w:t>
      </w:r>
    </w:p>
    <w:p w:rsidR="007C7048" w:rsidRDefault="007C7048" w:rsidP="007C7048">
      <w:pPr>
        <w:tabs>
          <w:tab w:val="left" w:pos="7088"/>
        </w:tabs>
        <w:spacing w:line="360" w:lineRule="auto"/>
        <w:rPr>
          <w:rFonts w:ascii="仿宋_GB2312" w:eastAsia="仿宋_GB2312" w:hAnsi="仿宋"/>
          <w:sz w:val="24"/>
          <w:szCs w:val="24"/>
        </w:rPr>
      </w:pPr>
      <w:r>
        <w:rPr>
          <w:rFonts w:ascii="仿宋_GB2312" w:eastAsia="仿宋_GB2312" w:hAnsi="仿宋" w:hint="eastAsia"/>
          <w:sz w:val="24"/>
          <w:szCs w:val="24"/>
        </w:rPr>
        <w:t xml:space="preserve">    分析认为，整体上看，环渤海地区动力煤价格在9月份止跌反弹，价格指数也随之回升；从价格指数的回升轨迹看，一方面，最近9个报告期中，有5个报告期上涨、4个报告期持平，上涨缺乏连续性，价格指数的跳跃式、间断性回升态势，说明动力煤价格上涨的主动性不足；另一方面，价格指数上涨的时间节点及涨升幅度均与部分生产企业调高煤炭价格的时间和幅度高度吻合，说明价格指数上涨主要得益于这一“外力”的推动和影响。   </w:t>
      </w:r>
    </w:p>
    <w:p w:rsidR="007C7048" w:rsidRDefault="007C7048" w:rsidP="007C7048">
      <w:pPr>
        <w:tabs>
          <w:tab w:val="left" w:pos="7088"/>
        </w:tabs>
        <w:spacing w:line="360" w:lineRule="auto"/>
        <w:ind w:firstLineChars="200" w:firstLine="480"/>
        <w:rPr>
          <w:rFonts w:ascii="仿宋_GB2312" w:eastAsia="仿宋_GB2312" w:hAnsi="仿宋"/>
          <w:color w:val="000000"/>
          <w:szCs w:val="22"/>
        </w:rPr>
      </w:pPr>
      <w:r>
        <w:rPr>
          <w:rFonts w:ascii="仿宋_GB2312" w:eastAsia="仿宋_GB2312" w:hAnsi="仿宋" w:hint="eastAsia"/>
          <w:sz w:val="24"/>
          <w:szCs w:val="24"/>
        </w:rPr>
        <w:t>本周现货与期货市场均呈现动力煤偏弱走势。产地周边主要煤炭消费企业库存都已经达到高位水平，华北大部分地区的采暖也逐步进入稳定阶段。基于冬储目的的采购规模倾向收缩。虽然近期焦煤价格涨幅明显，但动力煤成本下行及后续需求平淡的预期都较强，导致了煤种间市场走势的分化。</w:t>
      </w:r>
    </w:p>
    <w:p w:rsidR="007C7048" w:rsidRDefault="007C7048" w:rsidP="007C7048">
      <w:pPr>
        <w:pStyle w:val="10"/>
        <w:tabs>
          <w:tab w:val="left" w:pos="7088"/>
        </w:tabs>
        <w:spacing w:line="360" w:lineRule="auto"/>
        <w:ind w:firstLineChars="0" w:firstLine="0"/>
        <w:rPr>
          <w:rFonts w:ascii="仿宋_GB2312" w:eastAsia="仿宋_GB2312" w:hAnsi="仿宋"/>
          <w:b/>
          <w:sz w:val="24"/>
        </w:rPr>
      </w:pPr>
      <w:r>
        <w:rPr>
          <w:rFonts w:ascii="仿宋_GB2312" w:eastAsia="仿宋_GB2312" w:hAnsi="仿宋" w:hint="eastAsia"/>
          <w:b/>
          <w:sz w:val="24"/>
        </w:rPr>
        <w:t>焦煤：小幅上涨</w:t>
      </w:r>
    </w:p>
    <w:p w:rsidR="007C7048" w:rsidRDefault="007C7048" w:rsidP="007C7048">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本周焦煤价格出现一波持稳行情。周五渤海商品交易所焦煤出现价格回落收于602元，交易量与订货量稳定。</w:t>
      </w:r>
    </w:p>
    <w:p w:rsidR="007C7048" w:rsidRDefault="007C7048" w:rsidP="007C7048">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 xml:space="preserve">　冶金煤方面，11月随着国内限产政策逐步落实到位、环保监察力度不断加强、基建整合矿放缓入市、进口煤数量进一步下降以及煤企经营的市场环境不断改善等因素叠加，冶金煤供应量将明显减少，市场将维持供需弱平衡态势，季</w:t>
      </w:r>
      <w:r>
        <w:rPr>
          <w:rFonts w:ascii="仿宋_GB2312" w:eastAsia="仿宋_GB2312" w:hAnsi="仿宋" w:hint="eastAsia"/>
          <w:sz w:val="24"/>
          <w:szCs w:val="24"/>
        </w:rPr>
        <w:lastRenderedPageBreak/>
        <w:t>节性平稳反弹。房地产开工下降将带动钢铁、建材行业需求相对减弱，APEC会议期间重点管控的钢铁、焦化等工业源也将使冶金煤短期需求受到抑制，冶金煤价格持续大幅反弹的动力不足，或出现试探性小幅上涨。</w:t>
      </w:r>
    </w:p>
    <w:p w:rsidR="007C7048" w:rsidRDefault="007C7048" w:rsidP="007C7048">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本期山西省吕梁部分地区个别炼焦煤品种价格小幅上涨10元/吨，其他地区低位持稳。下游钢焦企业季节性采购需求增强，带动省内炼焦煤市场整体呈稳中上行走势。其中吕梁柳林地区下游接货客户增多，个别主焦煤品种价格有所上调；临汾地区炼焦煤市场成交较为活跃，价格暂无变化。</w:t>
      </w:r>
    </w:p>
    <w:p w:rsidR="007C7048" w:rsidRDefault="007C7048" w:rsidP="007C7048">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社会库存去化速度收窄，限产临时加大将促下游价格反弹，但反弹能否持续仍要观察需求与流动性改善幅度。本周社会钢材库存环比下降1.96%，降幅较上周有所收窄，需求端企稳后反弹不强。近期APEC会议期间限产使得钢厂盈利与产能利用率走势继续背离，163家钢厂盈利面环比上升4.29个百分点至68.09%，但产能利用率小幅下降，本周Myspic综指环比上涨0.18点。周末河北地区限产力度进一步加大，焦化、高炉、轧线大规模停产，幅度超过此前预期。预计下周产业链下游产品价格将有所反弹，但由于文件要求限产仅至11日，短期情绪性影响可能更大。限产结束后高位盈利将促供给明显回升，虽然至产能极限空间不大，但仍将产生一次性压力释放。本周下游焦煤库存环比微降，符合过去2年11月第一周下降规则，预计补库后续仍将继续，本周北方港口焦煤库存加速下降并伴随价格反弹，被动去库仍在持续。预计下周原料库存在下游限产的背景下将较大幅度增加，并部分平滑下游后续开工回升，总体来说，限产事件对炼焦煤影响不大，下游补库支撑反弹逻辑未变，持续性与幅度仍取决于后续需求及流动性能否进一步改善。</w:t>
      </w:r>
    </w:p>
    <w:p w:rsidR="007C7048" w:rsidRDefault="007C7048" w:rsidP="007C7048">
      <w:pPr>
        <w:pStyle w:val="10"/>
        <w:tabs>
          <w:tab w:val="left" w:pos="7088"/>
        </w:tabs>
        <w:spacing w:line="360" w:lineRule="auto"/>
        <w:ind w:firstLine="480"/>
        <w:rPr>
          <w:rFonts w:ascii="仿宋_GB2312" w:eastAsia="仿宋_GB2312" w:hAnsi="仿宋"/>
          <w:sz w:val="24"/>
          <w:szCs w:val="24"/>
        </w:rPr>
      </w:pPr>
      <w:r>
        <w:rPr>
          <w:rFonts w:ascii="仿宋_GB2312" w:eastAsia="仿宋_GB2312" w:hAnsi="仿宋" w:hint="eastAsia"/>
          <w:sz w:val="24"/>
          <w:szCs w:val="24"/>
        </w:rPr>
        <w:t>大商所1501合约价格与渤商所焦煤现价有一定价差，投资者可寻找跨市套利机会。个人投资者顺势而为，及时止盈止损。</w:t>
      </w:r>
    </w:p>
    <w:p w:rsidR="007C7048" w:rsidRDefault="007C7048" w:rsidP="007C7048">
      <w:pPr>
        <w:spacing w:line="360" w:lineRule="auto"/>
        <w:ind w:firstLineChars="200" w:firstLine="480"/>
        <w:rPr>
          <w:rFonts w:ascii="仿宋_GB2312" w:eastAsia="仿宋_GB2312" w:hAnsi="仿宋"/>
          <w:sz w:val="24"/>
          <w:szCs w:val="22"/>
        </w:rPr>
      </w:pPr>
    </w:p>
    <w:p w:rsidR="007C7048" w:rsidRDefault="007C7048" w:rsidP="007C7048">
      <w:pPr>
        <w:pStyle w:val="10"/>
        <w:tabs>
          <w:tab w:val="left" w:pos="7088"/>
        </w:tabs>
        <w:spacing w:line="360" w:lineRule="auto"/>
        <w:ind w:firstLineChars="0" w:firstLine="0"/>
        <w:rPr>
          <w:rFonts w:ascii="仿宋_GB2312" w:eastAsia="仿宋_GB2312"/>
          <w:b/>
          <w:sz w:val="24"/>
        </w:rPr>
      </w:pPr>
      <w:r>
        <w:rPr>
          <w:rFonts w:ascii="仿宋_GB2312" w:eastAsia="仿宋_GB2312" w:hint="eastAsia"/>
          <w:b/>
          <w:sz w:val="24"/>
        </w:rPr>
        <w:t>焦炭：下跌</w:t>
      </w:r>
    </w:p>
    <w:p w:rsidR="007C7048" w:rsidRDefault="007C7048" w:rsidP="007C7048">
      <w:pPr>
        <w:pStyle w:val="10"/>
        <w:tabs>
          <w:tab w:val="left" w:pos="7088"/>
        </w:tabs>
        <w:spacing w:line="360" w:lineRule="auto"/>
        <w:ind w:firstLine="480"/>
        <w:rPr>
          <w:rFonts w:ascii="仿宋_GB2312" w:eastAsia="仿宋_GB2312"/>
          <w:sz w:val="24"/>
        </w:rPr>
      </w:pPr>
      <w:r>
        <w:rPr>
          <w:rFonts w:ascii="仿宋_GB2312" w:eastAsia="仿宋_GB2312" w:hint="eastAsia"/>
          <w:sz w:val="24"/>
        </w:rPr>
        <w:t>本周焦煤价格相对上周下跌。周五渤海商品交易所焦炭小幅下跌收于1034元，交易量与订货量稳定。</w:t>
      </w:r>
    </w:p>
    <w:p w:rsidR="007C7048" w:rsidRDefault="007C7048" w:rsidP="007C7048">
      <w:pPr>
        <w:pStyle w:val="a5"/>
        <w:shd w:val="clear" w:color="auto" w:fill="FFFFFF"/>
        <w:spacing w:line="360" w:lineRule="auto"/>
        <w:ind w:firstLineChars="177" w:firstLine="425"/>
        <w:rPr>
          <w:rFonts w:ascii="仿宋_GB2312" w:eastAsia="仿宋_GB2312" w:hAnsi="Calibri" w:cs="Times New Roman"/>
          <w:kern w:val="2"/>
          <w:szCs w:val="22"/>
        </w:rPr>
      </w:pPr>
      <w:r>
        <w:rPr>
          <w:rFonts w:ascii="仿宋_GB2312" w:eastAsia="仿宋_GB2312" w:hAnsi="Calibri" w:cs="Times New Roman" w:hint="eastAsia"/>
          <w:kern w:val="2"/>
          <w:szCs w:val="22"/>
        </w:rPr>
        <w:t>2014年10月中国制造业PMI为50.8，尽管比上月回落0.3个百分点，但PMI指数仍保持在50%的荣枯分界线以上，而汇丰银行公布的10月汇丰中国制造业</w:t>
      </w:r>
      <w:r>
        <w:rPr>
          <w:rFonts w:ascii="仿宋_GB2312" w:eastAsia="仿宋_GB2312" w:hAnsi="Calibri" w:cs="Times New Roman" w:hint="eastAsia"/>
          <w:kern w:val="2"/>
          <w:szCs w:val="22"/>
        </w:rPr>
        <w:lastRenderedPageBreak/>
        <w:t>PMI为50.4，高于上月终值50.2，并创下三个月高点。10月数据表明在新常态下我国制造业总体上继续保持平稳运行态势，但存在一定下行压力。</w:t>
      </w:r>
    </w:p>
    <w:p w:rsidR="007C7048" w:rsidRDefault="007C7048" w:rsidP="007C7048">
      <w:pPr>
        <w:pStyle w:val="a5"/>
        <w:shd w:val="clear" w:color="auto" w:fill="FFFFFF"/>
        <w:spacing w:line="360" w:lineRule="auto"/>
        <w:ind w:firstLineChars="177" w:firstLine="425"/>
        <w:rPr>
          <w:rFonts w:ascii="仿宋_GB2312" w:eastAsia="仿宋_GB2312" w:hAnsi="Calibri" w:cs="Times New Roman"/>
          <w:kern w:val="2"/>
          <w:szCs w:val="22"/>
        </w:rPr>
      </w:pPr>
      <w:r>
        <w:rPr>
          <w:rFonts w:ascii="仿宋_GB2312" w:eastAsia="仿宋_GB2312" w:hAnsi="Calibri" w:cs="Times New Roman" w:hint="eastAsia"/>
          <w:kern w:val="2"/>
          <w:szCs w:val="22"/>
        </w:rPr>
        <w:t>9月份全国焦炭产量较8月的3993万吨小幅上升至4012万吨，但同比增速连续两个月下滑，从上月的1.4%下降至-0.96%，由正转负。而9月出口焦炭量及同比增速继续保持回升，同比增速由上月的78.69%回升至122.57%。2014年1-9月粗钢累计产量61799万吨，同比增长下降至2.34%，连续三个月小幅下滑，而9月粗钢产量由8月的6891万吨下降至6791万吨，同比增速亦继续维持下降势头，由8月的1.04%下降至0.02%。总体上看，粗钢产量增幅仍维持下降趋势，对焦炭形成利空。</w:t>
      </w:r>
    </w:p>
    <w:p w:rsidR="007C7048" w:rsidRDefault="007C7048" w:rsidP="007C7048">
      <w:pPr>
        <w:pStyle w:val="a5"/>
        <w:shd w:val="clear" w:color="auto" w:fill="FFFFFF"/>
        <w:spacing w:line="360" w:lineRule="auto"/>
        <w:ind w:firstLineChars="177" w:firstLine="425"/>
        <w:rPr>
          <w:rFonts w:ascii="仿宋_GB2312" w:eastAsia="仿宋_GB2312" w:hAnsi="Calibri" w:cs="Times New Roman"/>
          <w:kern w:val="2"/>
          <w:szCs w:val="22"/>
        </w:rPr>
      </w:pPr>
      <w:r>
        <w:rPr>
          <w:rFonts w:ascii="仿宋_GB2312" w:eastAsia="仿宋_GB2312" w:hAnsi="Calibri" w:cs="Times New Roman" w:hint="eastAsia"/>
          <w:kern w:val="2"/>
          <w:szCs w:val="22"/>
        </w:rPr>
        <w:t>截止2014年10月31日，天津港库存为173.95万吨，连云港库存为29.3万吨，日照港库存为32万吨，总库存235.25万吨，三大港口总库存维持下降势头，其中天津港库存下降趋势明显。焦炭港口库存的下降短期将利多焦炭价格。国内经济回稳、焦炭产量增速回落及出口回升、焦炭库存维持下降趋势均对焦炭价格形成支撑，但同时下游需求的疲弱仍对焦炭期价构成较大压制，在上有压力，下有支撑的情况下，预计焦炭价格仍将维持低位区间震荡走势。</w:t>
      </w:r>
    </w:p>
    <w:p w:rsidR="007C7048" w:rsidRDefault="007C7048" w:rsidP="007C7048">
      <w:pPr>
        <w:pStyle w:val="a5"/>
        <w:shd w:val="clear" w:color="auto" w:fill="FFFFFF"/>
        <w:spacing w:line="360" w:lineRule="auto"/>
        <w:ind w:firstLineChars="177" w:firstLine="425"/>
        <w:rPr>
          <w:rFonts w:ascii="仿宋_GB2312" w:eastAsia="仿宋_GB2312"/>
        </w:rPr>
      </w:pPr>
      <w:r>
        <w:rPr>
          <w:rFonts w:ascii="仿宋_GB2312" w:eastAsia="仿宋_GB2312" w:hAnsi="Calibri" w:cs="Times New Roman" w:hint="eastAsia"/>
          <w:kern w:val="2"/>
          <w:szCs w:val="22"/>
        </w:rPr>
        <w:t>操作上，建议高抛低吸短线操作。</w:t>
      </w:r>
      <w:r>
        <w:rPr>
          <w:rFonts w:ascii="仿宋_GB2312" w:eastAsia="仿宋_GB2312" w:hint="eastAsia"/>
        </w:rPr>
        <w:t>大商所1501合约价格与渤商所焦煤现价有一定价差，投资者可寻找跨市套利机会。个人投资者顺势而为，及时止盈止损。</w:t>
      </w:r>
    </w:p>
    <w:p w:rsidR="00961973" w:rsidRDefault="00D945F3">
      <w:pPr>
        <w:widowControl/>
        <w:jc w:val="left"/>
        <w:rPr>
          <w:rFonts w:hAnsi="仿宋_GB2312"/>
          <w:b/>
          <w:bCs/>
          <w:sz w:val="36"/>
          <w:szCs w:val="36"/>
        </w:rPr>
      </w:pPr>
      <w:r>
        <w:rPr>
          <w:rFonts w:hAnsi="仿宋_GB2312"/>
          <w:b/>
          <w:bCs/>
          <w:sz w:val="36"/>
          <w:szCs w:val="36"/>
        </w:rPr>
        <w:br w:type="page"/>
      </w:r>
      <w:r>
        <w:rPr>
          <w:rFonts w:hAnsi="仿宋_GB2312"/>
          <w:b/>
          <w:bCs/>
          <w:sz w:val="36"/>
          <w:szCs w:val="36"/>
        </w:rPr>
        <w:lastRenderedPageBreak/>
        <w:t>【农林产品板块】</w:t>
      </w:r>
    </w:p>
    <w:p w:rsidR="00D106A7" w:rsidRDefault="00D106A7" w:rsidP="00D106A7">
      <w:pPr>
        <w:spacing w:line="360" w:lineRule="auto"/>
        <w:rPr>
          <w:rFonts w:ascii="仿宋_GB2312" w:eastAsia="仿宋_GB2312"/>
          <w:b/>
          <w:sz w:val="24"/>
        </w:rPr>
      </w:pPr>
      <w:r>
        <w:rPr>
          <w:rFonts w:ascii="仿宋_GB2312" w:eastAsia="仿宋_GB2312" w:hint="eastAsia"/>
          <w:b/>
          <w:sz w:val="24"/>
        </w:rPr>
        <w:t>黑木耳:小幅下跌</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黑木耳价格小幅下跌，截止周五渤海商品交易所黑木耳尾盘收于55.45元/公斤，较上周下跌1.27元/公斤。本周黑木耳交收申报情况如下，买方申报交收5360公斤,卖方申报交收6148985公斤，交收配对成功5360公斤，成交量9799120公斤，成交金额545372852元，订货量38136480公斤。</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传统市场上黑木耳价格稳定，黑木耳走货量略有减少。进入11月份，南方主产区昼夜温差变大，气温逐渐降低，气候条件已符合黑木耳的生长，浙江龙泉等地已开始陆陆续续出耳，已有少量新木耳上市。北方主产区近期气温大幅下降，偏远地区雨雪天气，黑木耳采收已经进入尾季，采收量大幅减少，预计11月底将结束黑木耳采收。传统市场上，南方市场随着新木耳上市，市场人流量略有提升，由于前期库存较多，贸易商短时间内还没有大量采购的计划，买卖双方了解市场行情为主，市场活跃度不高。北方市场目前库存销售为主，由于今年黑木耳整体采收量较大，加之去年库存木耳积压，市场上黑木耳货源充沛，而前去采购的贸易商和企业较去年同时期减少，市场走货缓慢，市场库存积压严重，短时间内难以清空库存。深加工和零售终端市场方面：近几年黑木耳深加工产业发展迅速，黑木耳深加工产品不断更新，不仅有罐头类、开袋即食产品，还有木耳饮料、木耳饼干等新产品出现，深受消费者青睐。同时进入冬季，火锅生意开始火爆，黑木耳市场需求量略有提升。</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相关资讯：黑木耳营养、美味，深受消费者的喜爱，有着广阔的市场空间。近年来，浙江龙泉市因地制宜，带动农户积极发展黑木耳种植。眼下，随着龙泉市黑木耳首个采摘高峰期的来临，当地的菇农们都趁着晴好天气抓紧时间采摘黑木耳，迎接丰收。</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渤商所黑木耳价格本周小幅下跌，建议交易商密切关注国内黑木耳相关信息，比较价格差距，提前订立合同，锁定商品价格。</w:t>
      </w:r>
    </w:p>
    <w:p w:rsidR="00D106A7" w:rsidRDefault="00D106A7" w:rsidP="00D106A7">
      <w:pPr>
        <w:spacing w:line="360" w:lineRule="auto"/>
        <w:rPr>
          <w:rFonts w:ascii="仿宋_GB2312" w:eastAsia="仿宋_GB2312"/>
          <w:b/>
          <w:sz w:val="24"/>
          <w:szCs w:val="22"/>
        </w:rPr>
      </w:pPr>
      <w:r>
        <w:rPr>
          <w:rFonts w:ascii="仿宋_GB2312" w:eastAsia="仿宋_GB2312" w:hint="eastAsia"/>
          <w:b/>
          <w:sz w:val="24"/>
        </w:rPr>
        <w:t>香菇：小幅下跌</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渤商所香菇价格小幅下跌，周五渤海商品交易所香菇尾盘收于99.15元/公斤，较上周下跌1.57元/公斤。截至周五本周香菇交收申报情况如下，买方申报交收586320公斤，卖方申报交收20800公斤，交收配对成功13305公斤。</w:t>
      </w:r>
      <w:r>
        <w:rPr>
          <w:rFonts w:ascii="仿宋_GB2312" w:eastAsia="仿宋_GB2312" w:hint="eastAsia"/>
          <w:sz w:val="24"/>
          <w:szCs w:val="24"/>
        </w:rPr>
        <w:lastRenderedPageBreak/>
        <w:t>成交量13425040公斤，成交金额1332375392元，订货量20963840公斤。</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本周传统市场上香菇价格稳定，进入11月份，香菇主产区气温逐渐降低，纷纷进入香菇出菇季节。本周气温较上周有明显下降，昼夜温差大，适合中低温香菇的生长，香菇主产区出菇量较上周大幅提升，菇农忙的不亦乐乎。传统市场上本周新菇上市较上周多，由于前期香菇货源紧张，库存几乎为零，贸易商和销售企业急于囤货，大量采购。市场活跃度明显提升，香菇走货量加快，无论菇农还是贸易企业效益都极好。鲜品市场方面：随着近几年香菇栽培技术和保鲜技术的提升，适合鲜菇销售的品种较多，同时鲜品出口量明显提升，近期是鲜菇采收旺季，无论国内市场还是国际市场，鲜品需求量大，鲜品走货量较大。深加工产品和零售终端市场方面：随着加工技术的提升和消费者消费需求的多样化，近年来香菇深加工产品层出不穷，香菇酱、香菇料包、香菇饺子等开袋即食香菇深加工产品呈现多样化，从而带动香菇销量的提升。零售终端市场方面，近期火锅生意开始火爆，无论鲜品香菇还是干品香菇都深受欢迎，市场需求量小幅提升。</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相关资讯：近段时间，湖北丹江口市官山镇五龙庄村的菇农们正忙着为香菇脱袋。据了解，该地区的香菇一个星期后就可以与广大消费者见面了。有位菇农介绍说，今年香菇价格不错，每斤40—60元，他种植香菇20000多袋，预计收入20多万元。据了解，官山镇近年来依托本地丰富林木资源，积极调整产业结构，大力发展食用菌产业，有效增加了农民收入。</w:t>
      </w:r>
    </w:p>
    <w:p w:rsidR="00D106A7" w:rsidRDefault="00D106A7" w:rsidP="00D106A7">
      <w:pPr>
        <w:spacing w:line="360" w:lineRule="auto"/>
        <w:ind w:firstLineChars="200" w:firstLine="480"/>
        <w:rPr>
          <w:rFonts w:ascii="仿宋_GB2312" w:eastAsia="仿宋_GB2312"/>
          <w:sz w:val="24"/>
          <w:szCs w:val="24"/>
        </w:rPr>
      </w:pPr>
      <w:r>
        <w:rPr>
          <w:rFonts w:ascii="仿宋_GB2312" w:eastAsia="仿宋_GB2312" w:hint="eastAsia"/>
          <w:sz w:val="24"/>
          <w:szCs w:val="24"/>
        </w:rPr>
        <w:t>渤商所香菇价格小幅下跌，建议交易商密切关注国内香菇相关信息，根据实际需求，提前订立合同，锁定商品价格。</w:t>
      </w:r>
    </w:p>
    <w:p w:rsidR="00914AF5" w:rsidRDefault="00D945F3" w:rsidP="00914AF5">
      <w:pPr>
        <w:spacing w:beforeLines="100" w:before="312" w:line="360" w:lineRule="auto"/>
        <w:outlineLvl w:val="0"/>
        <w:rPr>
          <w:rFonts w:hAnsi="仿宋_GB2312"/>
          <w:b/>
          <w:bCs/>
          <w:sz w:val="36"/>
          <w:szCs w:val="36"/>
        </w:rPr>
      </w:pPr>
      <w:r>
        <w:rPr>
          <w:rFonts w:hAnsi="仿宋_GB2312"/>
          <w:b/>
          <w:bCs/>
          <w:sz w:val="36"/>
          <w:szCs w:val="36"/>
        </w:rPr>
        <w:br w:type="page"/>
      </w:r>
      <w:r w:rsidR="00914AF5">
        <w:rPr>
          <w:rFonts w:hAnsi="仿宋_GB2312" w:hint="eastAsia"/>
          <w:b/>
          <w:bCs/>
          <w:sz w:val="36"/>
          <w:szCs w:val="36"/>
        </w:rPr>
        <w:lastRenderedPageBreak/>
        <w:t>【石油化工板块】</w:t>
      </w:r>
    </w:p>
    <w:p w:rsidR="00914AF5" w:rsidRDefault="00914AF5" w:rsidP="00914AF5">
      <w:pPr>
        <w:spacing w:beforeLines="50" w:before="156" w:line="360" w:lineRule="auto"/>
        <w:jc w:val="center"/>
        <w:rPr>
          <w:rFonts w:ascii="仿宋_GB2312" w:eastAsia="仿宋_GB2312"/>
          <w:b/>
          <w:sz w:val="24"/>
          <w:szCs w:val="24"/>
        </w:rPr>
      </w:pPr>
      <w:r>
        <w:rPr>
          <w:rFonts w:ascii="仿宋_GB2312" w:eastAsia="仿宋_GB2312" w:hint="eastAsia"/>
          <w:b/>
          <w:sz w:val="24"/>
          <w:szCs w:val="24"/>
        </w:rPr>
        <w:t>润滑油基础油恩格：</w:t>
      </w:r>
    </w:p>
    <w:p w:rsidR="00914AF5" w:rsidRDefault="00914AF5" w:rsidP="00914AF5">
      <w:pPr>
        <w:pStyle w:val="a8"/>
        <w:spacing w:line="360" w:lineRule="auto"/>
        <w:ind w:firstLine="480"/>
        <w:rPr>
          <w:rFonts w:ascii="仿宋_GB2312" w:eastAsia="仿宋_GB2312" w:hint="eastAsia"/>
          <w:sz w:val="24"/>
          <w:szCs w:val="24"/>
        </w:rPr>
      </w:pPr>
      <w:r>
        <w:rPr>
          <w:rFonts w:ascii="仿宋_GB2312" w:eastAsia="仿宋_GB2312" w:hint="eastAsia"/>
          <w:sz w:val="24"/>
          <w:szCs w:val="24"/>
        </w:rPr>
        <w:t>渤商所润滑油基础油恩格:本周润滑油基础油恩格开盘价8.46元/公斤、最高价8.56元/公斤、最低价7.96元/公斤、收盘价8.41元/公斤。</w:t>
      </w:r>
    </w:p>
    <w:p w:rsidR="00914AF5" w:rsidRDefault="00914AF5" w:rsidP="00914AF5">
      <w:pPr>
        <w:pStyle w:val="a8"/>
        <w:spacing w:line="360" w:lineRule="auto"/>
        <w:ind w:firstLineChars="100" w:firstLine="240"/>
        <w:rPr>
          <w:rFonts w:ascii="仿宋_GB2312" w:eastAsia="仿宋_GB2312" w:hint="eastAsia"/>
          <w:sz w:val="24"/>
          <w:szCs w:val="24"/>
        </w:rPr>
      </w:pPr>
      <w:r>
        <w:rPr>
          <w:rFonts w:ascii="仿宋_GB2312" w:eastAsia="仿宋_GB2312" w:hint="eastAsia"/>
          <w:sz w:val="24"/>
          <w:szCs w:val="24"/>
        </w:rPr>
        <w:t>国际原油：全球石油供应过剩而需求持续低迷，且美元汇率保持坚挺，本计价周期以来，欧美原油期货持续下探，拖累变化率一路走低。</w:t>
      </w:r>
    </w:p>
    <w:p w:rsidR="00914AF5" w:rsidRDefault="00914AF5" w:rsidP="00914AF5">
      <w:pPr>
        <w:pStyle w:val="a8"/>
        <w:spacing w:line="360" w:lineRule="auto"/>
        <w:ind w:firstLineChars="100" w:firstLine="240"/>
        <w:rPr>
          <w:rFonts w:ascii="仿宋_GB2312" w:eastAsia="仿宋_GB2312" w:hint="eastAsia"/>
          <w:sz w:val="24"/>
          <w:szCs w:val="24"/>
        </w:rPr>
      </w:pPr>
      <w:r>
        <w:rPr>
          <w:rFonts w:ascii="仿宋_GB2312" w:eastAsia="仿宋_GB2312" w:hint="eastAsia"/>
          <w:sz w:val="24"/>
          <w:szCs w:val="24"/>
        </w:rPr>
        <w:t>现货润滑油基础油：国内现货市场，近期国内二类基础油市场跌势不止，150N主流型号跌至8200-8400元/吨，市场成交在跌势中深陷观望泥潭，生产炼厂及贸易商苦不堪言。尽管当前基础油供需表现依然不容乐观，但贸易商进口资源仍不断到港补充，国内部分炼厂检修期也已接近尾声，后期基础油市场供需形势将更为严峻。国际原油走势充满未知，但利空消息居多，基础油市场心态在短期内或难以迎来支撑。</w:t>
      </w:r>
    </w:p>
    <w:p w:rsidR="00914AF5" w:rsidRDefault="00914AF5" w:rsidP="00914AF5">
      <w:pPr>
        <w:spacing w:line="360" w:lineRule="auto"/>
        <w:ind w:firstLineChars="150" w:firstLine="360"/>
        <w:rPr>
          <w:rFonts w:hint="eastAsia"/>
        </w:rPr>
      </w:pPr>
      <w:r>
        <w:rPr>
          <w:rFonts w:ascii="仿宋_GB2312" w:eastAsia="仿宋_GB2312" w:hint="eastAsia"/>
          <w:sz w:val="24"/>
          <w:szCs w:val="24"/>
        </w:rPr>
        <w:t>本周渤商所润滑油基础油恩格盘面价格低于现货价格0.2元/公斤左右，现货商可根据自身需求在盘面订立B20010合同。</w:t>
      </w:r>
    </w:p>
    <w:p w:rsidR="00914AF5" w:rsidRDefault="00914AF5" w:rsidP="00914AF5">
      <w:pPr>
        <w:spacing w:beforeLines="50" w:before="156" w:line="360" w:lineRule="auto"/>
        <w:jc w:val="center"/>
        <w:rPr>
          <w:rFonts w:ascii="仿宋_GB2312" w:eastAsia="仿宋_GB2312"/>
          <w:b/>
          <w:sz w:val="28"/>
          <w:szCs w:val="24"/>
        </w:rPr>
      </w:pPr>
      <w:r>
        <w:rPr>
          <w:rFonts w:ascii="仿宋_GB2312" w:eastAsia="仿宋_GB2312" w:hint="eastAsia"/>
          <w:b/>
          <w:sz w:val="28"/>
          <w:szCs w:val="24"/>
        </w:rPr>
        <w:t>PVC（山东）&amp;PVC（华东）</w:t>
      </w:r>
    </w:p>
    <w:p w:rsidR="00914AF5" w:rsidRDefault="00914AF5" w:rsidP="00914AF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渤商所PVC（山东）本周开盘价5916元/吨、最高价5932元/吨、最低价5910元/吨、收盘价5912元/吨、均价5915元/吨。</w:t>
      </w:r>
    </w:p>
    <w:p w:rsidR="00914AF5" w:rsidRDefault="00914AF5" w:rsidP="00914AF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渤商所PVC（华东）本周横盘整理。</w:t>
      </w:r>
    </w:p>
    <w:p w:rsidR="00914AF5" w:rsidRDefault="00914AF5" w:rsidP="00914AF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原料电石：</w:t>
      </w:r>
      <w:r>
        <w:rPr>
          <w:rFonts w:ascii="仿宋_GB2312" w:eastAsia="仿宋_GB2312" w:hint="eastAsia"/>
          <w:sz w:val="24"/>
          <w:szCs w:val="24"/>
        </w:rPr>
        <w:t>本周电石市场供应平稳，下游需求情况尚可，市场交投积极性尚可，市场行情盘整；</w:t>
      </w:r>
    </w:p>
    <w:p w:rsidR="00914AF5" w:rsidRDefault="00914AF5" w:rsidP="00914AF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PVC现货市场：价格坚挺，整体稳定。</w:t>
      </w:r>
      <w:r>
        <w:rPr>
          <w:rFonts w:ascii="仿宋_GB2312" w:eastAsia="仿宋_GB2312" w:hint="eastAsia"/>
          <w:sz w:val="24"/>
          <w:szCs w:val="24"/>
        </w:rPr>
        <w:t>本周现货PVC市场库价格平稳，商家大都随行就市，下游厂家需求萎靡，观望情绪浓厚，交投不振。</w:t>
      </w:r>
    </w:p>
    <w:p w:rsidR="00914AF5" w:rsidRDefault="00914AF5" w:rsidP="00914AF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本周渤商所PVC(山东)价格维持平稳，PVC（华东）横盘整理，盘面价格与山东主流市场价格高出40-50元/吨左右，生产企业可在目前国内PP产能严重过剩的情况下，在渤商所订立卖出合同，增加销售渠道。</w:t>
      </w:r>
    </w:p>
    <w:p w:rsidR="00914AF5" w:rsidRDefault="00914AF5" w:rsidP="00914AF5">
      <w:pPr>
        <w:spacing w:beforeLines="50" w:before="156" w:line="360" w:lineRule="auto"/>
        <w:jc w:val="center"/>
        <w:rPr>
          <w:rFonts w:ascii="仿宋_GB2312" w:eastAsia="仿宋_GB2312" w:hint="eastAsia"/>
          <w:b/>
          <w:sz w:val="28"/>
          <w:szCs w:val="24"/>
        </w:rPr>
      </w:pPr>
      <w:r>
        <w:rPr>
          <w:rFonts w:ascii="仿宋_GB2312" w:eastAsia="仿宋_GB2312" w:hint="eastAsia"/>
          <w:b/>
          <w:sz w:val="28"/>
          <w:szCs w:val="24"/>
        </w:rPr>
        <w:t>聚丙烯拉丝级（中轻）</w:t>
      </w:r>
    </w:p>
    <w:p w:rsidR="00914AF5" w:rsidRDefault="00914AF5" w:rsidP="00914AF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渤商所聚丙烯拉丝级（中轻）本周开盘价8805元/吨、最高价8816元/吨、</w:t>
      </w:r>
      <w:r>
        <w:rPr>
          <w:rFonts w:ascii="仿宋_GB2312" w:eastAsia="仿宋_GB2312" w:hint="eastAsia"/>
          <w:sz w:val="24"/>
          <w:szCs w:val="24"/>
        </w:rPr>
        <w:lastRenderedPageBreak/>
        <w:t>最低价8700元/吨、收盘价8828元/吨、均价8786元/吨。</w:t>
      </w:r>
    </w:p>
    <w:p w:rsidR="00914AF5" w:rsidRDefault="00914AF5" w:rsidP="00914AF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上游原料;</w:t>
      </w:r>
      <w:r>
        <w:rPr>
          <w:rFonts w:ascii="仿宋_GB2312" w:eastAsia="仿宋_GB2312" w:hint="eastAsia"/>
          <w:sz w:val="24"/>
          <w:szCs w:val="24"/>
        </w:rPr>
        <w:t>国际原油价格不断下行，市场预期国际原油输出组织将维持原油产量，国际油价继续下跌，伦敦布伦特油价盘中跌破80美元/桶以下，报收80.38美元/桶，下跌1.6%，创下2010年9月以来新低。纽约油价也下挫1%，收于77.18美元/桶。</w:t>
      </w:r>
    </w:p>
    <w:p w:rsidR="00914AF5" w:rsidRDefault="00914AF5" w:rsidP="00914AF5">
      <w:pPr>
        <w:spacing w:line="360" w:lineRule="auto"/>
        <w:ind w:firstLineChars="200" w:firstLine="482"/>
        <w:rPr>
          <w:rFonts w:ascii="仿宋_GB2312" w:eastAsia="仿宋_GB2312" w:hint="eastAsia"/>
          <w:sz w:val="24"/>
          <w:szCs w:val="24"/>
        </w:rPr>
      </w:pPr>
      <w:r>
        <w:rPr>
          <w:rFonts w:ascii="仿宋_GB2312" w:eastAsia="仿宋_GB2312" w:hint="eastAsia"/>
          <w:b/>
          <w:sz w:val="24"/>
          <w:szCs w:val="24"/>
        </w:rPr>
        <w:t>聚丙烯现货市场：PP价格小幅下跌。</w:t>
      </w:r>
      <w:r>
        <w:rPr>
          <w:rFonts w:ascii="仿宋_GB2312" w:eastAsia="仿宋_GB2312" w:hint="eastAsia"/>
          <w:sz w:val="24"/>
          <w:szCs w:val="24"/>
        </w:rPr>
        <w:t>临近周末，石化企业调低出厂价，市场看空心态浓厚。下游企业按需采购为主，观望后市，市场成交情况一般。截至周五，华东地区市场价在10621-10623元/吨。</w:t>
      </w:r>
    </w:p>
    <w:p w:rsidR="00914AF5" w:rsidRDefault="00914AF5" w:rsidP="00914AF5">
      <w:pPr>
        <w:spacing w:line="360" w:lineRule="auto"/>
        <w:ind w:firstLineChars="200" w:firstLine="480"/>
        <w:rPr>
          <w:rFonts w:ascii="仿宋_GB2312" w:eastAsia="仿宋_GB2312" w:hint="eastAsia"/>
          <w:sz w:val="24"/>
          <w:szCs w:val="24"/>
        </w:rPr>
      </w:pPr>
      <w:r>
        <w:rPr>
          <w:rFonts w:ascii="仿宋_GB2312" w:eastAsia="仿宋_GB2312" w:hint="eastAsia"/>
          <w:sz w:val="24"/>
          <w:szCs w:val="24"/>
        </w:rPr>
        <w:t>本周渤商所PP价格震荡下跌；盘面价格低于华东现货市场价格240-260元/吨左右，生产企业可选择在渤商所订立买入合同，或随采随用；也可在目前国内PP产能严重过剩的情况下，在渤商所订立卖出合同，增加销售渠道。</w:t>
      </w:r>
    </w:p>
    <w:p w:rsidR="00501EE3" w:rsidRDefault="00501EE3"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Default="00914AF5" w:rsidP="00914AF5">
      <w:pPr>
        <w:spacing w:beforeLines="100" w:before="312" w:line="360" w:lineRule="auto"/>
        <w:outlineLvl w:val="0"/>
        <w:rPr>
          <w:rFonts w:ascii="仿宋_GB2312" w:eastAsia="仿宋_GB2312" w:hint="eastAsia"/>
          <w:b/>
          <w:sz w:val="24"/>
          <w:szCs w:val="24"/>
        </w:rPr>
      </w:pPr>
    </w:p>
    <w:p w:rsidR="00914AF5" w:rsidRPr="00914AF5" w:rsidRDefault="00914AF5" w:rsidP="00914AF5">
      <w:pPr>
        <w:spacing w:beforeLines="100" w:before="312" w:line="360" w:lineRule="auto"/>
        <w:outlineLvl w:val="0"/>
        <w:rPr>
          <w:rFonts w:ascii="仿宋_GB2312" w:eastAsia="仿宋_GB2312"/>
          <w:b/>
          <w:sz w:val="24"/>
          <w:szCs w:val="24"/>
        </w:rPr>
      </w:pPr>
      <w:bookmarkStart w:id="0" w:name="_GoBack"/>
      <w:bookmarkEnd w:id="0"/>
    </w:p>
    <w:p w:rsidR="00501EE3" w:rsidRPr="00501EE3" w:rsidRDefault="00501EE3" w:rsidP="00501EE3">
      <w:pPr>
        <w:spacing w:beforeLines="100" w:before="312" w:line="360" w:lineRule="auto"/>
        <w:outlineLvl w:val="0"/>
        <w:rPr>
          <w:rFonts w:ascii="仿宋_GB2312" w:eastAsia="仿宋_GB2312"/>
          <w:b/>
          <w:sz w:val="24"/>
          <w:szCs w:val="24"/>
        </w:rPr>
      </w:pPr>
    </w:p>
    <w:p w:rsidR="00AB0CA6" w:rsidRPr="00AB0CA6" w:rsidRDefault="00AB0CA6" w:rsidP="00AB0CA6">
      <w:pPr>
        <w:widowControl/>
        <w:jc w:val="left"/>
        <w:rPr>
          <w:rFonts w:ascii="仿宋_GB2312" w:eastAsia="仿宋_GB2312"/>
          <w:b/>
          <w:sz w:val="24"/>
          <w:szCs w:val="24"/>
        </w:rPr>
      </w:pPr>
    </w:p>
    <w:p w:rsidR="00961973" w:rsidRDefault="00961973">
      <w:pPr>
        <w:widowControl/>
        <w:spacing w:line="360" w:lineRule="auto"/>
        <w:ind w:firstLineChars="250" w:firstLine="602"/>
        <w:jc w:val="left"/>
        <w:rPr>
          <w:rFonts w:ascii="宋体" w:hAnsi="宋体" w:cs="宋体"/>
          <w:b/>
          <w:kern w:val="0"/>
          <w:sz w:val="24"/>
          <w:szCs w:val="24"/>
        </w:rPr>
      </w:pPr>
    </w:p>
    <w:p w:rsidR="00961973" w:rsidRDefault="00D945F3">
      <w:pPr>
        <w:widowControl/>
        <w:spacing w:line="360" w:lineRule="auto"/>
        <w:ind w:firstLineChars="250" w:firstLine="602"/>
        <w:jc w:val="left"/>
        <w:rPr>
          <w:rFonts w:ascii="宋体" w:hAnsi="宋体" w:cs="宋体"/>
          <w:b/>
          <w:kern w:val="0"/>
          <w:sz w:val="24"/>
          <w:szCs w:val="24"/>
        </w:rPr>
      </w:pPr>
      <w:r>
        <w:rPr>
          <w:rFonts w:ascii="宋体" w:hAnsi="宋体" w:cs="宋体"/>
          <w:b/>
          <w:kern w:val="0"/>
          <w:sz w:val="24"/>
          <w:szCs w:val="24"/>
        </w:rPr>
        <w:lastRenderedPageBreak/>
        <w:t>免责声明：本报告的信息均来源于公开资料，我公司对这些信息的准确性和完整性不作任何保证，也不保证所包含的信息和建议不会发生任何变更。我们已力求报告内容的客观、公正，但文中的观点、结论和建议仅供参考，报告中的信息或意见并不构成所述品种的买卖出价，投资者据此做出的任何投资决策与本公司和作者无关。</w:t>
      </w:r>
    </w:p>
    <w:p w:rsidR="00961973" w:rsidRDefault="00961973"/>
    <w:sectPr w:rsidR="00961973">
      <w:headerReference w:type="default" r:id="rId10"/>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919" w:rsidRDefault="00C67919">
      <w:r>
        <w:separator/>
      </w:r>
    </w:p>
  </w:endnote>
  <w:endnote w:type="continuationSeparator" w:id="0">
    <w:p w:rsidR="00C67919" w:rsidRDefault="00C6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919" w:rsidRDefault="00C67919">
      <w:r>
        <w:separator/>
      </w:r>
    </w:p>
  </w:footnote>
  <w:footnote w:type="continuationSeparator" w:id="0">
    <w:p w:rsidR="00C67919" w:rsidRDefault="00C67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973" w:rsidRDefault="00961973">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973"/>
    <w:rsid w:val="001F7851"/>
    <w:rsid w:val="002B0D27"/>
    <w:rsid w:val="003D0ACE"/>
    <w:rsid w:val="00501EE3"/>
    <w:rsid w:val="005749A9"/>
    <w:rsid w:val="00685356"/>
    <w:rsid w:val="00696459"/>
    <w:rsid w:val="0078714E"/>
    <w:rsid w:val="00791A0C"/>
    <w:rsid w:val="007C7048"/>
    <w:rsid w:val="00802EDF"/>
    <w:rsid w:val="00914AF5"/>
    <w:rsid w:val="00961973"/>
    <w:rsid w:val="009D1C72"/>
    <w:rsid w:val="009D72C2"/>
    <w:rsid w:val="00A25483"/>
    <w:rsid w:val="00A97113"/>
    <w:rsid w:val="00AB0CA6"/>
    <w:rsid w:val="00BA0F07"/>
    <w:rsid w:val="00C059EA"/>
    <w:rsid w:val="00C52BAB"/>
    <w:rsid w:val="00C67919"/>
    <w:rsid w:val="00D106A7"/>
    <w:rsid w:val="00D126B3"/>
    <w:rsid w:val="00D945F3"/>
    <w:rsid w:val="00DC0B2F"/>
    <w:rsid w:val="00DD3A73"/>
    <w:rsid w:val="00E0562D"/>
    <w:rsid w:val="00F851BC"/>
    <w:rsid w:val="00FD09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rFonts w:ascii="Calibri" w:hAnsi="Calibri"/>
      <w:sz w:val="18"/>
      <w:szCs w:val="18"/>
    </w:rPr>
  </w:style>
  <w:style w:type="paragraph" w:styleId="a4">
    <w:name w:val="header"/>
    <w:basedOn w:val="a"/>
    <w:link w:val="Char0"/>
    <w:unhideWhenUsed/>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6">
    <w:name w:val="Strong"/>
    <w:uiPriority w:val="22"/>
    <w:qFormat/>
    <w:rPr>
      <w:b/>
      <w:bCs/>
    </w:rPr>
  </w:style>
  <w:style w:type="character" w:styleId="a7">
    <w:name w:val="Hyperlink"/>
    <w:rPr>
      <w:rFonts w:ascii="ˎ̥" w:hAnsi="ˎ̥" w:hint="default"/>
      <w:color w:val="000000"/>
      <w:u w:val="none"/>
    </w:rPr>
  </w:style>
  <w:style w:type="paragraph" w:customStyle="1" w:styleId="11">
    <w:name w:val="列出段落11"/>
    <w:pPr>
      <w:ind w:firstLineChars="200" w:firstLine="420"/>
    </w:pPr>
    <w:rPr>
      <w:rFonts w:ascii="Calibri" w:hAnsi="Calibri"/>
    </w:rPr>
  </w:style>
  <w:style w:type="paragraph" w:customStyle="1" w:styleId="1">
    <w:name w:val="列出段落1"/>
    <w:basedOn w:val="a"/>
    <w:qFormat/>
    <w:pPr>
      <w:ind w:firstLineChars="200" w:firstLine="420"/>
    </w:pPr>
    <w:rPr>
      <w:rFonts w:ascii="Calibri" w:hAnsi="Calibri"/>
      <w:szCs w:val="22"/>
    </w:rPr>
  </w:style>
  <w:style w:type="paragraph" w:customStyle="1" w:styleId="10">
    <w:name w:val="列出段落1"/>
    <w:basedOn w:val="a"/>
    <w:uiPriority w:val="99"/>
    <w:pPr>
      <w:ind w:firstLineChars="200" w:firstLine="420"/>
    </w:pPr>
    <w:rPr>
      <w:rFonts w:ascii="Calibri" w:hAnsi="Calibri"/>
      <w:szCs w:val="22"/>
    </w:rPr>
  </w:style>
  <w:style w:type="paragraph" w:customStyle="1" w:styleId="2">
    <w:name w:val="列出段落2"/>
    <w:basedOn w:val="a"/>
    <w:pPr>
      <w:ind w:firstLineChars="200" w:firstLine="420"/>
    </w:pPr>
    <w:rPr>
      <w:rFonts w:ascii="Calibri" w:hAnsi="Calibri"/>
      <w:szCs w:val="22"/>
    </w:rPr>
  </w:style>
  <w:style w:type="paragraph" w:customStyle="1" w:styleId="3">
    <w:name w:val="列出段落3"/>
    <w:basedOn w:val="a"/>
    <w:pPr>
      <w:ind w:firstLineChars="200" w:firstLine="420"/>
    </w:pPr>
    <w:rPr>
      <w:rFonts w:ascii="Calibri" w:hAnsi="Calibri"/>
      <w:szCs w:val="22"/>
    </w:rPr>
  </w:style>
  <w:style w:type="paragraph" w:customStyle="1" w:styleId="4">
    <w:name w:val="列出段落4"/>
    <w:basedOn w:val="a"/>
    <w:pPr>
      <w:ind w:firstLineChars="200" w:firstLine="420"/>
    </w:pPr>
    <w:rPr>
      <w:rFonts w:ascii="Calibri" w:hAnsi="Calibri"/>
      <w:szCs w:val="22"/>
    </w:rPr>
  </w:style>
  <w:style w:type="paragraph" w:customStyle="1" w:styleId="5">
    <w:name w:val="列出段落5"/>
    <w:basedOn w:val="a"/>
    <w:pPr>
      <w:ind w:firstLineChars="200" w:firstLine="420"/>
    </w:pPr>
    <w:rPr>
      <w:rFonts w:ascii="Calibri" w:hAnsi="Calibri"/>
      <w:szCs w:val="22"/>
    </w:rPr>
  </w:style>
  <w:style w:type="paragraph" w:customStyle="1" w:styleId="6">
    <w:name w:val="列出段落6"/>
    <w:basedOn w:val="a"/>
    <w:pPr>
      <w:ind w:firstLineChars="200" w:firstLine="420"/>
    </w:pPr>
    <w:rPr>
      <w:rFonts w:ascii="Calibri" w:hAnsi="Calibri"/>
      <w:szCs w:val="22"/>
    </w:rPr>
  </w:style>
  <w:style w:type="paragraph" w:customStyle="1" w:styleId="7">
    <w:name w:val="列出段落7"/>
    <w:basedOn w:val="a"/>
    <w:uiPriority w:val="99"/>
    <w:pPr>
      <w:ind w:firstLineChars="200" w:firstLine="420"/>
    </w:pPr>
    <w:rPr>
      <w:rFonts w:ascii="Calibri" w:hAnsi="Calibri"/>
      <w:szCs w:val="22"/>
    </w:rPr>
  </w:style>
  <w:style w:type="paragraph" w:customStyle="1" w:styleId="ListParagraph1">
    <w:name w:val="List Paragraph1"/>
    <w:basedOn w:val="a"/>
    <w:uiPriority w:val="99"/>
    <w:pPr>
      <w:ind w:firstLineChars="200" w:firstLine="420"/>
    </w:pPr>
    <w:rPr>
      <w:rFonts w:ascii="Calibri" w:hAnsi="Calibri"/>
      <w:szCs w:val="22"/>
    </w:rPr>
  </w:style>
  <w:style w:type="character" w:customStyle="1" w:styleId="Char0">
    <w:name w:val="页眉 Char"/>
    <w:link w:val="a4"/>
    <w:rPr>
      <w:sz w:val="18"/>
      <w:szCs w:val="18"/>
    </w:rPr>
  </w:style>
  <w:style w:type="character" w:customStyle="1" w:styleId="Char">
    <w:name w:val="页脚 Char"/>
    <w:link w:val="a3"/>
    <w:uiPriority w:val="99"/>
    <w:rPr>
      <w:sz w:val="18"/>
      <w:szCs w:val="18"/>
    </w:rPr>
  </w:style>
  <w:style w:type="paragraph" w:customStyle="1" w:styleId="8">
    <w:name w:val="列出段落8"/>
    <w:basedOn w:val="a"/>
    <w:uiPriority w:val="99"/>
    <w:rsid w:val="00F851BC"/>
    <w:pPr>
      <w:ind w:firstLineChars="200" w:firstLine="420"/>
    </w:pPr>
    <w:rPr>
      <w:rFonts w:ascii="Calibri" w:hAnsi="Calibri"/>
      <w:szCs w:val="22"/>
    </w:rPr>
  </w:style>
  <w:style w:type="paragraph" w:customStyle="1" w:styleId="9">
    <w:name w:val="列出段落9"/>
    <w:basedOn w:val="a"/>
    <w:uiPriority w:val="99"/>
    <w:rsid w:val="003D0ACE"/>
    <w:pPr>
      <w:ind w:firstLineChars="200" w:firstLine="420"/>
    </w:pPr>
    <w:rPr>
      <w:rFonts w:ascii="Calibri" w:hAnsi="Calibri"/>
      <w:szCs w:val="22"/>
    </w:rPr>
  </w:style>
  <w:style w:type="paragraph" w:customStyle="1" w:styleId="100">
    <w:name w:val="列出段落10"/>
    <w:basedOn w:val="a"/>
    <w:uiPriority w:val="99"/>
    <w:rsid w:val="00A97113"/>
    <w:pPr>
      <w:ind w:firstLineChars="200" w:firstLine="420"/>
    </w:pPr>
    <w:rPr>
      <w:rFonts w:ascii="Calibri" w:hAnsi="Calibri"/>
      <w:szCs w:val="22"/>
    </w:rPr>
  </w:style>
  <w:style w:type="paragraph" w:customStyle="1" w:styleId="12">
    <w:name w:val="列出段落12"/>
    <w:basedOn w:val="a"/>
    <w:uiPriority w:val="99"/>
    <w:rsid w:val="00E0562D"/>
    <w:pPr>
      <w:ind w:firstLineChars="200" w:firstLine="420"/>
    </w:pPr>
    <w:rPr>
      <w:rFonts w:ascii="Calibri" w:hAnsi="Calibri"/>
      <w:szCs w:val="22"/>
    </w:rPr>
  </w:style>
  <w:style w:type="paragraph" w:styleId="a8">
    <w:name w:val="List Paragraph"/>
    <w:basedOn w:val="a"/>
    <w:qFormat/>
    <w:rsid w:val="00914AF5"/>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9693">
      <w:bodyDiv w:val="1"/>
      <w:marLeft w:val="0"/>
      <w:marRight w:val="0"/>
      <w:marTop w:val="0"/>
      <w:marBottom w:val="0"/>
      <w:divBdr>
        <w:top w:val="none" w:sz="0" w:space="0" w:color="auto"/>
        <w:left w:val="none" w:sz="0" w:space="0" w:color="auto"/>
        <w:bottom w:val="none" w:sz="0" w:space="0" w:color="auto"/>
        <w:right w:val="none" w:sz="0" w:space="0" w:color="auto"/>
      </w:divBdr>
    </w:div>
    <w:div w:id="563832930">
      <w:bodyDiv w:val="1"/>
      <w:marLeft w:val="0"/>
      <w:marRight w:val="0"/>
      <w:marTop w:val="0"/>
      <w:marBottom w:val="0"/>
      <w:divBdr>
        <w:top w:val="none" w:sz="0" w:space="0" w:color="auto"/>
        <w:left w:val="none" w:sz="0" w:space="0" w:color="auto"/>
        <w:bottom w:val="none" w:sz="0" w:space="0" w:color="auto"/>
        <w:right w:val="none" w:sz="0" w:space="0" w:color="auto"/>
      </w:divBdr>
    </w:div>
    <w:div w:id="856777666">
      <w:bodyDiv w:val="1"/>
      <w:marLeft w:val="0"/>
      <w:marRight w:val="0"/>
      <w:marTop w:val="0"/>
      <w:marBottom w:val="0"/>
      <w:divBdr>
        <w:top w:val="none" w:sz="0" w:space="0" w:color="auto"/>
        <w:left w:val="none" w:sz="0" w:space="0" w:color="auto"/>
        <w:bottom w:val="none" w:sz="0" w:space="0" w:color="auto"/>
        <w:right w:val="none" w:sz="0" w:space="0" w:color="auto"/>
      </w:divBdr>
    </w:div>
    <w:div w:id="998271186">
      <w:bodyDiv w:val="1"/>
      <w:marLeft w:val="0"/>
      <w:marRight w:val="0"/>
      <w:marTop w:val="0"/>
      <w:marBottom w:val="0"/>
      <w:divBdr>
        <w:top w:val="none" w:sz="0" w:space="0" w:color="auto"/>
        <w:left w:val="none" w:sz="0" w:space="0" w:color="auto"/>
        <w:bottom w:val="none" w:sz="0" w:space="0" w:color="auto"/>
        <w:right w:val="none" w:sz="0" w:space="0" w:color="auto"/>
      </w:divBdr>
    </w:div>
    <w:div w:id="1183281849">
      <w:bodyDiv w:val="1"/>
      <w:marLeft w:val="0"/>
      <w:marRight w:val="0"/>
      <w:marTop w:val="0"/>
      <w:marBottom w:val="0"/>
      <w:divBdr>
        <w:top w:val="none" w:sz="0" w:space="0" w:color="auto"/>
        <w:left w:val="none" w:sz="0" w:space="0" w:color="auto"/>
        <w:bottom w:val="none" w:sz="0" w:space="0" w:color="auto"/>
        <w:right w:val="none" w:sz="0" w:space="0" w:color="auto"/>
      </w:divBdr>
    </w:div>
    <w:div w:id="1424182289">
      <w:bodyDiv w:val="1"/>
      <w:marLeft w:val="0"/>
      <w:marRight w:val="0"/>
      <w:marTop w:val="0"/>
      <w:marBottom w:val="0"/>
      <w:divBdr>
        <w:top w:val="none" w:sz="0" w:space="0" w:color="auto"/>
        <w:left w:val="none" w:sz="0" w:space="0" w:color="auto"/>
        <w:bottom w:val="none" w:sz="0" w:space="0" w:color="auto"/>
        <w:right w:val="none" w:sz="0" w:space="0" w:color="auto"/>
      </w:divBdr>
    </w:div>
    <w:div w:id="1531990847">
      <w:bodyDiv w:val="1"/>
      <w:marLeft w:val="0"/>
      <w:marRight w:val="0"/>
      <w:marTop w:val="0"/>
      <w:marBottom w:val="0"/>
      <w:divBdr>
        <w:top w:val="none" w:sz="0" w:space="0" w:color="auto"/>
        <w:left w:val="none" w:sz="0" w:space="0" w:color="auto"/>
        <w:bottom w:val="none" w:sz="0" w:space="0" w:color="auto"/>
        <w:right w:val="none" w:sz="0" w:space="0" w:color="auto"/>
      </w:divBdr>
    </w:div>
    <w:div w:id="1814131201">
      <w:bodyDiv w:val="1"/>
      <w:marLeft w:val="0"/>
      <w:marRight w:val="0"/>
      <w:marTop w:val="0"/>
      <w:marBottom w:val="0"/>
      <w:divBdr>
        <w:top w:val="none" w:sz="0" w:space="0" w:color="auto"/>
        <w:left w:val="none" w:sz="0" w:space="0" w:color="auto"/>
        <w:bottom w:val="none" w:sz="0" w:space="0" w:color="auto"/>
        <w:right w:val="none" w:sz="0" w:space="0" w:color="auto"/>
      </w:divBdr>
    </w:div>
    <w:div w:id="1829318876">
      <w:bodyDiv w:val="1"/>
      <w:marLeft w:val="0"/>
      <w:marRight w:val="0"/>
      <w:marTop w:val="0"/>
      <w:marBottom w:val="0"/>
      <w:divBdr>
        <w:top w:val="none" w:sz="0" w:space="0" w:color="auto"/>
        <w:left w:val="none" w:sz="0" w:space="0" w:color="auto"/>
        <w:bottom w:val="none" w:sz="0" w:space="0" w:color="auto"/>
        <w:right w:val="none" w:sz="0" w:space="0" w:color="auto"/>
      </w:divBdr>
    </w:div>
    <w:div w:id="1859923775">
      <w:bodyDiv w:val="1"/>
      <w:marLeft w:val="0"/>
      <w:marRight w:val="0"/>
      <w:marTop w:val="0"/>
      <w:marBottom w:val="0"/>
      <w:divBdr>
        <w:top w:val="none" w:sz="0" w:space="0" w:color="auto"/>
        <w:left w:val="none" w:sz="0" w:space="0" w:color="auto"/>
        <w:bottom w:val="none" w:sz="0" w:space="0" w:color="auto"/>
        <w:right w:val="none" w:sz="0" w:space="0" w:color="auto"/>
      </w:divBdr>
    </w:div>
    <w:div w:id="2104572806">
      <w:bodyDiv w:val="1"/>
      <w:marLeft w:val="0"/>
      <w:marRight w:val="0"/>
      <w:marTop w:val="0"/>
      <w:marBottom w:val="0"/>
      <w:divBdr>
        <w:top w:val="none" w:sz="0" w:space="0" w:color="auto"/>
        <w:left w:val="none" w:sz="0" w:space="0" w:color="auto"/>
        <w:bottom w:val="none" w:sz="0" w:space="0" w:color="auto"/>
        <w:right w:val="none" w:sz="0" w:space="0" w:color="auto"/>
      </w:divBdr>
    </w:div>
    <w:div w:id="2105109966">
      <w:bodyDiv w:val="1"/>
      <w:marLeft w:val="0"/>
      <w:marRight w:val="0"/>
      <w:marTop w:val="0"/>
      <w:marBottom w:val="0"/>
      <w:divBdr>
        <w:top w:val="none" w:sz="0" w:space="0" w:color="auto"/>
        <w:left w:val="none" w:sz="0" w:space="0" w:color="auto"/>
        <w:bottom w:val="none" w:sz="0" w:space="0" w:color="auto"/>
        <w:right w:val="none" w:sz="0" w:space="0" w:color="auto"/>
      </w:divBdr>
    </w:div>
    <w:div w:id="2136292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sc.org.cn/CoalIndex/chs/n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c.org.cn/CoalIndex/chs/new/"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818</Words>
  <Characters>4666</Characters>
  <Application>Microsoft Office Word</Application>
  <DocSecurity>0</DocSecurity>
  <Lines>38</Lines>
  <Paragraphs>10</Paragraphs>
  <ScaleCrop>false</ScaleCrop>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【煤炭能源板块】</dc:title>
  <dc:creator>user</dc:creator>
  <cp:lastModifiedBy>DELL</cp:lastModifiedBy>
  <cp:revision>15</cp:revision>
  <dcterms:created xsi:type="dcterms:W3CDTF">2014-06-27T09:27:00Z</dcterms:created>
  <dcterms:modified xsi:type="dcterms:W3CDTF">2014-11-14T09:37:00Z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2052-9.1.0.4843</vt:lpwstr>
  </property>
</Properties>
</file>