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3" w:rsidRDefault="00D945F3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hAnsi="仿宋_GB2312"/>
          <w:b/>
          <w:bCs/>
          <w:sz w:val="36"/>
          <w:szCs w:val="36"/>
        </w:rPr>
        <w:t>【</w:t>
      </w:r>
      <w:r>
        <w:rPr>
          <w:rFonts w:hAnsi="仿宋_GB2312" w:hint="eastAsia"/>
          <w:b/>
          <w:bCs/>
          <w:sz w:val="36"/>
          <w:szCs w:val="36"/>
        </w:rPr>
        <w:t>煤炭能源</w:t>
      </w:r>
      <w:r>
        <w:rPr>
          <w:rFonts w:hAnsi="仿宋_GB2312"/>
          <w:b/>
          <w:bCs/>
          <w:sz w:val="36"/>
          <w:szCs w:val="36"/>
        </w:rPr>
        <w:t>板块】</w:t>
      </w:r>
    </w:p>
    <w:p w:rsidR="001A2326" w:rsidRPr="00DE6E6F" w:rsidRDefault="001A2326" w:rsidP="001A2326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 w:hAnsi="仿宋"/>
          <w:b/>
          <w:sz w:val="24"/>
        </w:rPr>
      </w:pPr>
      <w:r w:rsidRPr="00DE6E6F">
        <w:rPr>
          <w:rFonts w:ascii="仿宋_GB2312" w:eastAsia="仿宋_GB2312" w:hAnsi="仿宋" w:hint="eastAsia"/>
          <w:b/>
          <w:sz w:val="24"/>
        </w:rPr>
        <w:t>焦煤：</w:t>
      </w:r>
      <w:r>
        <w:rPr>
          <w:rFonts w:ascii="仿宋_GB2312" w:eastAsia="仿宋_GB2312" w:hAnsi="仿宋" w:hint="eastAsia"/>
          <w:b/>
          <w:sz w:val="24"/>
        </w:rPr>
        <w:t>下跌</w:t>
      </w:r>
    </w:p>
    <w:p w:rsidR="001A2326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276204">
        <w:rPr>
          <w:rFonts w:ascii="仿宋_GB2312" w:eastAsia="仿宋_GB2312" w:hAnsi="仿宋" w:hint="eastAsia"/>
          <w:sz w:val="24"/>
          <w:szCs w:val="24"/>
        </w:rPr>
        <w:t>本周焦煤价格</w:t>
      </w:r>
      <w:r>
        <w:rPr>
          <w:rFonts w:ascii="仿宋_GB2312" w:eastAsia="仿宋_GB2312" w:hAnsi="仿宋" w:hint="eastAsia"/>
          <w:sz w:val="24"/>
          <w:szCs w:val="24"/>
        </w:rPr>
        <w:t>出现一波震荡回升</w:t>
      </w:r>
      <w:r w:rsidRPr="00276204">
        <w:rPr>
          <w:rFonts w:ascii="仿宋_GB2312" w:eastAsia="仿宋_GB2312" w:hAnsi="仿宋" w:hint="eastAsia"/>
          <w:sz w:val="24"/>
          <w:szCs w:val="24"/>
        </w:rPr>
        <w:t>。周五渤海商品交易所焦煤出现</w:t>
      </w:r>
      <w:r w:rsidRPr="00276204">
        <w:rPr>
          <w:rFonts w:ascii="仿宋_GB2312" w:eastAsia="仿宋_GB2312" w:hAnsi="仿宋"/>
          <w:sz w:val="24"/>
          <w:szCs w:val="24"/>
        </w:rPr>
        <w:t>价格回</w:t>
      </w:r>
      <w:r>
        <w:rPr>
          <w:rFonts w:ascii="仿宋_GB2312" w:eastAsia="仿宋_GB2312" w:hAnsi="仿宋" w:hint="eastAsia"/>
          <w:sz w:val="24"/>
          <w:szCs w:val="24"/>
        </w:rPr>
        <w:t>落</w:t>
      </w:r>
      <w:r w:rsidRPr="00276204">
        <w:rPr>
          <w:rFonts w:ascii="仿宋_GB2312" w:eastAsia="仿宋_GB2312" w:hAnsi="仿宋" w:hint="eastAsia"/>
          <w:sz w:val="24"/>
          <w:szCs w:val="24"/>
        </w:rPr>
        <w:t>收于</w:t>
      </w:r>
      <w:r>
        <w:rPr>
          <w:rFonts w:ascii="仿宋_GB2312" w:eastAsia="仿宋_GB2312" w:hAnsi="仿宋"/>
          <w:sz w:val="24"/>
          <w:szCs w:val="24"/>
        </w:rPr>
        <w:t>597</w:t>
      </w:r>
      <w:r w:rsidRPr="00276204">
        <w:rPr>
          <w:rFonts w:ascii="仿宋_GB2312" w:eastAsia="仿宋_GB2312" w:hAnsi="仿宋" w:hint="eastAsia"/>
          <w:sz w:val="24"/>
          <w:szCs w:val="24"/>
        </w:rPr>
        <w:t>元，交易量与订货量稳定。</w:t>
      </w:r>
    </w:p>
    <w:p w:rsidR="001A2326" w:rsidRPr="00D444CC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国内黑色产业链严重过剩的弊端由来已久，在经济增长放缓背景下越为明显，如何消化过剩产能一直是产业链企业一直探寻的出路，而增加对外出口正是打开下游需求的一条很好渠道。在此影响下，焦炭和钢材出口大幅走高。焦炭出口保持良好增长局面。海关数据显示，10月份全国焦炭出口量为82万吨，同比增长59%，1-10月份累计出口焦炭656万吨，同比增长1.02倍，其中山西焦炭的出口量超过90%。在国内因为产能严重过剩而对焦炭进行限产的背景下，出口的持续增长，是“开源节流”，双向并举，能够有效缓解国内焦炭市场的供应压力。</w:t>
      </w:r>
    </w:p>
    <w:p w:rsidR="001A2326" w:rsidRPr="00D444CC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整个黑色产业链的出口增长不仅仅限于焦炭，钢材出口也继续走高。海关数据显示，10月份我国钢材出口量达到855万吨，是继9月份出口852万吨之后，再度刷新单月出口新纪录，1-10月份，我国累计出口钢材7389.28万吨，同比增长42.2%，全年出口8000万吨指日可待。在国内需求持续疲软的背景下，钢材价格的持续走低已经拉大了内外的价差空间，此时钢企加大出口量也有利于化解国内产能过剩。</w:t>
      </w:r>
    </w:p>
    <w:p w:rsidR="001A2326" w:rsidRPr="003E1302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不过11月份中旬正值APEC会议的召开，河北省的钢厂停产比例在70%-80%之间，粗钢产量有所下滑，在10月下旬日均产量一度降至163.15万吨，旬比下降7.45%，为年内最低值，整个唐山钢厂的高炉开工率也从90%以上突降至不足50%，对钢厂影响较大，也在一定程度上限制了对焦炭的需求，但是在整个黑色产业链限产背景下，对焦炭需求的影响是短暂而有限的。年底还要关注钢材的冬储需求，尽管目前的市场行情今非昔比，贸易商还要考虑库存压力和资金成本，冬储的需求不可同日而语，但是作为国内市场传统的购销旺季，还是会对现货市场和期货市场价格有一定的提振。综合需求端分析，我们认为，在宏观政策偏向宽松的背景下，焦炭和钢材出口的大幅增长，同时又在传统冬储旺季来临之时，必将对整个黑色产业链有所提振，煤焦需求势必有所好转，价格也将得到提振。</w:t>
      </w:r>
    </w:p>
    <w:p w:rsidR="001A2326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276204">
        <w:rPr>
          <w:rFonts w:ascii="仿宋_GB2312" w:eastAsia="仿宋_GB2312" w:hAnsi="仿宋" w:hint="eastAsia"/>
          <w:sz w:val="24"/>
          <w:szCs w:val="24"/>
        </w:rPr>
        <w:t>大商所150</w:t>
      </w:r>
      <w:r>
        <w:rPr>
          <w:rFonts w:ascii="仿宋_GB2312" w:eastAsia="仿宋_GB2312" w:hAnsi="仿宋"/>
          <w:sz w:val="24"/>
          <w:szCs w:val="24"/>
        </w:rPr>
        <w:t>5</w:t>
      </w:r>
      <w:r w:rsidRPr="00276204">
        <w:rPr>
          <w:rFonts w:ascii="仿宋_GB2312" w:eastAsia="仿宋_GB2312" w:hAnsi="仿宋" w:hint="eastAsia"/>
          <w:sz w:val="24"/>
          <w:szCs w:val="24"/>
        </w:rPr>
        <w:t>合约价格与渤商所焦煤现价有一定价差，投资者可寻找跨市套</w:t>
      </w:r>
      <w:r w:rsidRPr="00276204">
        <w:rPr>
          <w:rFonts w:ascii="仿宋_GB2312" w:eastAsia="仿宋_GB2312" w:hAnsi="仿宋" w:hint="eastAsia"/>
          <w:sz w:val="24"/>
          <w:szCs w:val="24"/>
        </w:rPr>
        <w:lastRenderedPageBreak/>
        <w:t>利机会。个人投资者顺势而为，及时止盈止损。</w:t>
      </w:r>
    </w:p>
    <w:p w:rsidR="001A2326" w:rsidRDefault="001A2326" w:rsidP="001A2326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焦炭：下跌</w:t>
      </w:r>
    </w:p>
    <w:p w:rsidR="001A2326" w:rsidRPr="00FB79EE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FB79EE">
        <w:rPr>
          <w:rFonts w:ascii="仿宋_GB2312" w:eastAsia="仿宋_GB2312" w:hAnsi="仿宋" w:hint="eastAsia"/>
          <w:sz w:val="24"/>
          <w:szCs w:val="24"/>
        </w:rPr>
        <w:t>本周焦煤价格相对上周</w:t>
      </w:r>
      <w:r>
        <w:rPr>
          <w:rFonts w:ascii="仿宋_GB2312" w:eastAsia="仿宋_GB2312" w:hAnsi="仿宋" w:hint="eastAsia"/>
          <w:sz w:val="24"/>
          <w:szCs w:val="24"/>
        </w:rPr>
        <w:t>上涨</w:t>
      </w:r>
      <w:r w:rsidRPr="00FB79EE">
        <w:rPr>
          <w:rFonts w:ascii="仿宋_GB2312" w:eastAsia="仿宋_GB2312" w:hAnsi="仿宋" w:hint="eastAsia"/>
          <w:sz w:val="24"/>
          <w:szCs w:val="24"/>
        </w:rPr>
        <w:t>。周五渤海商品交易所焦炭小幅</w:t>
      </w:r>
      <w:r>
        <w:rPr>
          <w:rFonts w:ascii="仿宋_GB2312" w:eastAsia="仿宋_GB2312" w:hAnsi="仿宋" w:hint="eastAsia"/>
          <w:sz w:val="24"/>
          <w:szCs w:val="24"/>
        </w:rPr>
        <w:t>上涨</w:t>
      </w:r>
      <w:r w:rsidRPr="00FB79EE">
        <w:rPr>
          <w:rFonts w:ascii="仿宋_GB2312" w:eastAsia="仿宋_GB2312" w:hAnsi="仿宋" w:hint="eastAsia"/>
          <w:sz w:val="24"/>
          <w:szCs w:val="24"/>
        </w:rPr>
        <w:t>收于</w:t>
      </w:r>
      <w:r w:rsidRPr="00FB79EE">
        <w:rPr>
          <w:rFonts w:ascii="仿宋_GB2312" w:eastAsia="仿宋_GB2312" w:hAnsi="仿宋"/>
          <w:sz w:val="24"/>
          <w:szCs w:val="24"/>
        </w:rPr>
        <w:t>10</w:t>
      </w:r>
      <w:r>
        <w:rPr>
          <w:rFonts w:ascii="仿宋_GB2312" w:eastAsia="仿宋_GB2312" w:hAnsi="仿宋"/>
          <w:sz w:val="24"/>
          <w:szCs w:val="24"/>
        </w:rPr>
        <w:t>02</w:t>
      </w:r>
      <w:r w:rsidRPr="00FB79EE">
        <w:rPr>
          <w:rFonts w:ascii="仿宋_GB2312" w:eastAsia="仿宋_GB2312" w:hAnsi="仿宋" w:hint="eastAsia"/>
          <w:sz w:val="24"/>
          <w:szCs w:val="24"/>
        </w:rPr>
        <w:t>元，交易量与订货量稳定。</w:t>
      </w:r>
    </w:p>
    <w:p w:rsidR="001A2326" w:rsidRPr="00D444CC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焦炭产量同比下降，10月我国焦炭产量4065万吨，同比下降1%，日均产量131.13万吨，环比下降1.9%；1-10月产量39510万吨，同比下降0.3%。随着APEC会议结束，钢厂高炉开工率有所回升，截至11月21日，回升到89.09，回升到10</w:t>
      </w:r>
      <w:r>
        <w:rPr>
          <w:rFonts w:ascii="仿宋_GB2312" w:eastAsia="仿宋_GB2312" w:hAnsi="仿宋" w:hint="eastAsia"/>
          <w:sz w:val="24"/>
          <w:szCs w:val="24"/>
        </w:rPr>
        <w:t>月初水平。</w:t>
      </w:r>
      <w:r w:rsidRPr="00D444CC">
        <w:rPr>
          <w:rFonts w:ascii="仿宋_GB2312" w:eastAsia="仿宋_GB2312" w:hAnsi="仿宋" w:hint="eastAsia"/>
          <w:sz w:val="24"/>
          <w:szCs w:val="24"/>
        </w:rPr>
        <w:t>截至11月21日当周，天津港焦炭库存维持在172万吨附近，高位回落。连云港焦炭库存维持在24.8万吨附近，回落明显。</w:t>
      </w:r>
    </w:p>
    <w:p w:rsidR="001A2326" w:rsidRPr="00D444CC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中国人民银行决定，自2014年11月22日起下调金融机构人民币贷款和存款基准利率。金融机构一年期贷款基准利率下调0.4个百分点至5.6%；一年期存款基准利率下调0.25个百分点至2.75%。路透社援引接触决策层的消息人士指出，中国意外降息反映了中央政府和中国央行的方向调整，为两年来首次大调整，之前一直坚持温和的刺激措施。</w:t>
      </w:r>
    </w:p>
    <w:p w:rsidR="001A2326" w:rsidRPr="00D444CC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中国第三季度经济增速下滑至7.3%，PPI和CPI指数均表现疲软，决策层担心经济增速跌破7%，而7%的经济增速是全球经济危机以来不曾见到的。参与内部决策的一位智囊团经济专家表示，“高层领导已经转变观点”。这位匿名经济学家称，中国央行已经转向全面刺激，并可能再次降息并下调银行准备金率。</w:t>
      </w:r>
    </w:p>
    <w:p w:rsidR="001A2326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降息对地产利好。对于开发商而言，一方面，降低了融资成本减轻资金链压力，有助于释放杠杆调整财务；另一方面，突如其来的利好亦如一剂猛药，有助于刺激销售、突击业绩、特别是有助于去化刚需的开发商。而对于购房者来说无疑将减轻还款压力，以一笔100万元的商业房贷为例，基准利率按照20年等额本息还款计算，降息前月供为7485.2元，降息后，月供将降至7251.12元，每月减负234.08元，全年可减负2808.96元，20年可以减少4万元的利息支出。</w:t>
      </w:r>
    </w:p>
    <w:p w:rsidR="001A2326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FB79EE">
        <w:rPr>
          <w:rFonts w:ascii="仿宋_GB2312" w:eastAsia="仿宋_GB2312" w:hAnsi="仿宋" w:hint="eastAsia"/>
          <w:sz w:val="24"/>
          <w:szCs w:val="24"/>
        </w:rPr>
        <w:t>大商所</w:t>
      </w:r>
      <w:r w:rsidRPr="00FB79EE">
        <w:rPr>
          <w:rFonts w:ascii="仿宋_GB2312" w:eastAsia="仿宋_GB2312" w:hAnsi="仿宋"/>
          <w:sz w:val="24"/>
          <w:szCs w:val="24"/>
        </w:rPr>
        <w:t>1505</w:t>
      </w:r>
      <w:r w:rsidRPr="00FB79EE">
        <w:rPr>
          <w:rFonts w:ascii="仿宋_GB2312" w:eastAsia="仿宋_GB2312" w:hAnsi="仿宋" w:hint="eastAsia"/>
          <w:sz w:val="24"/>
          <w:szCs w:val="24"/>
        </w:rPr>
        <w:t>合约价格与渤商所焦煤现价有一定价差，投资者可寻找跨市套利机会。个人投资者顺势而为，及时止盈止损。</w:t>
      </w:r>
    </w:p>
    <w:p w:rsidR="001A2326" w:rsidRPr="00D444CC" w:rsidRDefault="001A2326" w:rsidP="001A2326">
      <w:pPr>
        <w:tabs>
          <w:tab w:val="left" w:pos="7088"/>
        </w:tabs>
        <w:spacing w:line="360" w:lineRule="auto"/>
        <w:rPr>
          <w:rFonts w:ascii="仿宋_GB2312" w:eastAsia="仿宋_GB2312"/>
          <w:b/>
          <w:sz w:val="24"/>
        </w:rPr>
      </w:pPr>
      <w:r w:rsidRPr="00D444CC">
        <w:rPr>
          <w:rFonts w:ascii="仿宋_GB2312" w:eastAsia="仿宋_GB2312" w:hint="eastAsia"/>
          <w:b/>
          <w:sz w:val="24"/>
        </w:rPr>
        <w:t>动力煤：小幅下跌</w:t>
      </w:r>
    </w:p>
    <w:p w:rsidR="001A2326" w:rsidRPr="00D444CC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本周动力煤价格小幅下跌。周五渤海商品交易所动力煤收于486元/吨，较与上周价格下跌5元/吨，交易量减少，订货量小幅减少。</w:t>
      </w:r>
    </w:p>
    <w:p w:rsidR="001A2326" w:rsidRPr="00D444CC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lastRenderedPageBreak/>
        <w:t>12月16日，秦皇岛海运煤炭交易市场发布的环渤海动力</w:t>
      </w:r>
      <w:hyperlink r:id="rId8" w:tgtFrame="http://news.cqcoal.com:9080/a/xinwenzixun/meishizhouping/2014/1219/_blank" w:history="1">
        <w:r w:rsidRPr="00D444CC">
          <w:rPr>
            <w:rFonts w:ascii="仿宋_GB2312" w:eastAsia="仿宋_GB2312" w:hAnsi="仿宋" w:hint="eastAsia"/>
            <w:sz w:val="24"/>
            <w:szCs w:val="24"/>
          </w:rPr>
          <w:t>煤价格</w:t>
        </w:r>
      </w:hyperlink>
      <w:r w:rsidRPr="00D444CC">
        <w:rPr>
          <w:rFonts w:ascii="仿宋_GB2312" w:eastAsia="仿宋_GB2312" w:hAnsi="仿宋" w:hint="eastAsia"/>
          <w:sz w:val="24"/>
          <w:szCs w:val="24"/>
        </w:rPr>
        <w:t>指数报收于526元/吨，本报告期（12月10日至12月16日）与前一报告期持平，这既验证了前期关于止涨的判断，也说明煤价前番上涨动力单一。秦皇岛港各动力煤品种价格继续加剧分化，主流煤种价格轮番松动。秦皇岛4500大卡热量动力煤价格为415-425元/吨，环比上周上涨5元/吨；5000大卡发热量动力煤价格为450-460元/吨，环比上周持平；5500大卡发热量动力煤价格为520-530元/吨，环比下跌5元/吨；5800大卡发热量动力煤价格为555-565元/吨，环比上周持平。截至本周，5000K-5500K主流港口煤种价格已经完成交替下滑，一方面呼应了持续僵持的港口物流现状，另一方面也消弭了煤价继续拉涨的氛围。</w:t>
      </w:r>
    </w:p>
    <w:p w:rsidR="001A2326" w:rsidRPr="00D444CC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本期</w:t>
      </w:r>
      <w:hyperlink r:id="rId9" w:tgtFrame="http://news.cqcoal.com:9080/a/xinwenzixun/meishizhouping/2014/1219/_blank" w:history="1">
        <w:r w:rsidRPr="00D444CC">
          <w:rPr>
            <w:rFonts w:ascii="仿宋_GB2312" w:eastAsia="仿宋_GB2312" w:hAnsi="仿宋" w:hint="eastAsia"/>
            <w:sz w:val="24"/>
            <w:szCs w:val="24"/>
          </w:rPr>
          <w:t>环渤海动力煤价格指数</w:t>
        </w:r>
      </w:hyperlink>
      <w:r w:rsidRPr="00D444CC">
        <w:rPr>
          <w:rFonts w:ascii="仿宋_GB2312" w:eastAsia="仿宋_GB2312" w:hAnsi="仿宋" w:hint="eastAsia"/>
          <w:sz w:val="24"/>
          <w:szCs w:val="24"/>
        </w:rPr>
        <w:t xml:space="preserve">的运行结果表明：价格持平的规格品数量迅速增至三分之二，而价格上涨的港口规格品迅速减少，该地区动力煤交易价格的上涨动力趋于弱化；价格指数的涨幅由前一期的5元/吨迅速转化为平稳运行；5500K规格品在两个港口都出现价格下降，显著动摇了价格后续趋势。   </w:t>
      </w:r>
    </w:p>
    <w:p w:rsidR="001A2326" w:rsidRPr="00D444CC" w:rsidRDefault="001A2326" w:rsidP="001A2326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分析认为：一方面，月初大型煤炭企业提高12月份动力煤销售价格的积极影响趋于淡化，而消费企业采购积极性不高、持续下行的海上煤炭</w:t>
      </w:r>
      <w:hyperlink r:id="rId10" w:tgtFrame="http://news.cqcoal.com:9080/a/xinwenzixun/meishizhouping/2014/1219/_blank" w:history="1">
        <w:r w:rsidRPr="00D444CC">
          <w:rPr>
            <w:rFonts w:ascii="仿宋_GB2312" w:eastAsia="仿宋_GB2312" w:hAnsi="仿宋" w:hint="eastAsia"/>
            <w:sz w:val="24"/>
            <w:szCs w:val="24"/>
          </w:rPr>
          <w:t>运价</w:t>
        </w:r>
      </w:hyperlink>
      <w:r w:rsidRPr="00D444CC">
        <w:rPr>
          <w:rFonts w:ascii="仿宋_GB2312" w:eastAsia="仿宋_GB2312" w:hAnsi="仿宋" w:hint="eastAsia"/>
          <w:sz w:val="24"/>
          <w:szCs w:val="24"/>
        </w:rPr>
        <w:t>、主要发运港口煤炭库存不断升高等负面因素逐渐显现，引起市场对煤炭价格走势的担忧；另一方面，大型煤炭企业执行调整后煤炭价格的坚决态度，对市场煤价起到了“维稳”作用，最终促使本报告期环渤海地区动力煤价格指数平稳运行。距离新年度已经不足2周，大型煤企年内的调价窗口很难再次打开。维持兑现当前价格成为重中之重。在这种背景下，煤炭基本供需对价格走势的影响逐步凸显。目前铁路、港口、航运等物流环节都高度承压，各企业也面临年度时点的业务与财务考核。诸多因素都在呼唤煤价向基本面回归，当前走稳的煤价仍处过渡阶段，煤价调整尚未完成。</w:t>
      </w:r>
    </w:p>
    <w:p w:rsidR="001A2326" w:rsidRPr="00D444CC" w:rsidRDefault="001A2326" w:rsidP="001A2326">
      <w:pPr>
        <w:tabs>
          <w:tab w:val="left" w:pos="7088"/>
        </w:tabs>
        <w:spacing w:line="360" w:lineRule="auto"/>
        <w:rPr>
          <w:rFonts w:ascii="仿宋_GB2312" w:eastAsia="仿宋_GB2312" w:hAnsi="仿宋"/>
          <w:color w:val="000000"/>
        </w:rPr>
      </w:pPr>
    </w:p>
    <w:p w:rsidR="001A2326" w:rsidRPr="00D444CC" w:rsidRDefault="001A2326" w:rsidP="001A2326">
      <w:pPr>
        <w:tabs>
          <w:tab w:val="left" w:pos="7088"/>
        </w:tabs>
        <w:spacing w:line="360" w:lineRule="auto"/>
        <w:rPr>
          <w:rFonts w:ascii="仿宋_GB2312" w:eastAsia="仿宋_GB2312" w:hAnsi="仿宋"/>
          <w:sz w:val="24"/>
          <w:szCs w:val="24"/>
        </w:rPr>
      </w:pPr>
    </w:p>
    <w:p w:rsidR="00961973" w:rsidRDefault="00D945F3">
      <w:pPr>
        <w:widowControl/>
        <w:jc w:val="left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br w:type="page"/>
      </w:r>
      <w:r>
        <w:rPr>
          <w:rFonts w:hAnsi="仿宋_GB2312"/>
          <w:b/>
          <w:bCs/>
          <w:sz w:val="36"/>
          <w:szCs w:val="36"/>
        </w:rPr>
        <w:lastRenderedPageBreak/>
        <w:t>【农林产品板块】</w:t>
      </w:r>
    </w:p>
    <w:p w:rsidR="00D106A7" w:rsidRDefault="00D106A7" w:rsidP="00D106A7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黑木耳:小幅下跌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黑木耳价格小幅下跌，截止周五渤海商品交易所黑木耳尾盘收于55.45元/公斤，较上周下跌1.27元/公斤。本周黑木耳交收申报情况如下，买方申报交收5360公斤,卖方申报交收6148985公斤，交收配对成功5360公斤，成交量9799120公斤，成交金额545372852元，订货量38136480公斤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传统市场上黑木耳价格稳定，黑木耳走货量略有减少。进入11月份，南方主产区昼夜温差变大，气温逐渐降低，气候条件已符合黑木耳的生长，浙江龙泉等地已开始陆陆续续出耳，已有少量新木耳上市。北方主产区近期气温大幅下降，偏远地区雨雪天气，黑木耳采收已经进入尾季，采收量大幅减少，预计11月底将结束黑木耳采收。传统市场上，南方市场随着新木耳上市，市场人流量略有提升，由于前期库存较多，贸易商短时间内还没有大量采购的计划，买卖双方了解市场行情为主，市场活跃度不高。北方市场目前库存销售为主，由于今年黑木耳整体采收量较大，加之去年库存木耳积压，市场上黑木耳货源充沛，而前去采购的贸易商和企业较去年同时期减少，市场走货缓慢，市场库存积压严重，短时间内难以清空库存。深加工和零售终端市场方面：近几年黑木耳深加工产业发展迅速，黑木耳深加工产品不断更新，不仅有罐头类、开袋即食产品，还有木耳饮料、木耳饼干等新产品出现，深受消费者青睐。同时进入冬季，火锅生意开始火爆，黑木耳市场需求量略有提升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相关资讯：黑木耳营养、美味，深受消费者的喜爱，有着广阔的市场空间。近年来，浙江龙泉市因地制宜，带动农户积极发展黑木耳种植。眼下，随着龙泉市黑木耳首个采摘高峰期的来临，当地的菇农们都趁着晴好天气抓紧时间采摘黑木耳，迎接丰收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渤商所黑木耳价格本周小幅下跌，建议交易商密切关注国内黑木耳相关信息，比较价格差距，提前订立合同，锁定商品价格。</w:t>
      </w:r>
    </w:p>
    <w:p w:rsidR="00D106A7" w:rsidRDefault="00D106A7" w:rsidP="00D106A7">
      <w:pPr>
        <w:spacing w:line="360" w:lineRule="auto"/>
        <w:rPr>
          <w:rFonts w:ascii="仿宋_GB2312" w:eastAsia="仿宋_GB2312"/>
          <w:b/>
          <w:sz w:val="24"/>
          <w:szCs w:val="22"/>
        </w:rPr>
      </w:pPr>
      <w:r>
        <w:rPr>
          <w:rFonts w:ascii="仿宋_GB2312" w:eastAsia="仿宋_GB2312" w:hint="eastAsia"/>
          <w:b/>
          <w:sz w:val="24"/>
        </w:rPr>
        <w:t>香菇：小幅下跌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香菇价格小幅下跌，周五渤海商品交易所香菇尾盘收于99.15元/公斤，较上周下跌1.57元/公斤。截至周五本周香菇交收申报情况如下，买方申报交收586320公斤，卖方申报交收20800公斤，交收配对成功13305公斤。</w:t>
      </w:r>
      <w:r>
        <w:rPr>
          <w:rFonts w:ascii="仿宋_GB2312" w:eastAsia="仿宋_GB2312" w:hint="eastAsia"/>
          <w:sz w:val="24"/>
          <w:szCs w:val="24"/>
        </w:rPr>
        <w:lastRenderedPageBreak/>
        <w:t>成交量13425040公斤，成交金额1332375392元，订货量20963840公斤。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传统市场上香菇价格稳定，进入11月份，香菇主产区气温逐渐降低，纷纷进入香菇出菇季节。本周气温较上周有明显下降，昼夜温差大，适合中低温香菇的生长，香菇主产区出菇量较上周大幅提升，菇农忙的不亦乐乎。传统市场上本周新菇上市较上周多，由于前期香菇货源紧张，库存几乎为零，贸易商和销售企业急于囤货，大量采购。市场活跃度明显提升，香菇走货量加快，无论菇农还是贸易企业效益都极好。鲜品市场方面：随着近几年香菇栽培技术和保鲜技术的提升，适合鲜菇销售的品种较多，同时鲜品出口量明显提升，近期是鲜菇采收旺季，无论国内市场还是国际市场，鲜品需求量大，鲜品走货量较大。深加工产品和零售终端市场方面：随着加工技术的提升和消费者消费需求的多样化，近年来香菇深加工产品层出不穷，香菇酱、香菇料包、香菇饺子等开袋即食香菇深加工产品呈现多样化，从而带动香菇销量的提升。零售终端市场方面，近期火锅生意开始火爆，无论鲜品香菇还是干品香菇都深受欢迎，市场需求量小幅提升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相关资讯：近段时间，湖北丹江口市官山镇五龙庄村的菇农们正忙着为香菇脱袋。据了解，该地区的香菇一个星期后就可以与广大消费者见面了。有位菇农介绍说，今年香菇价格不错，每斤40—60元，他种植香菇20000多袋，预计收入20多万元。据了解，官山镇近年来依托本地丰富林木资源，积极调整产业结构，大力发展食用菌产业，有效增加了农民收入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渤商所香菇价格小幅下跌，建议交易商密切关注国内香菇相关信息，根据实际需求，提前订立合同，锁定商品价格。</w:t>
      </w:r>
    </w:p>
    <w:p w:rsidR="003308B2" w:rsidRDefault="00D945F3" w:rsidP="003308B2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br w:type="page"/>
      </w:r>
      <w:r w:rsidR="003308B2">
        <w:rPr>
          <w:rFonts w:hAnsi="仿宋_GB2312" w:hint="eastAsia"/>
          <w:b/>
          <w:bCs/>
          <w:sz w:val="36"/>
          <w:szCs w:val="36"/>
        </w:rPr>
        <w:lastRenderedPageBreak/>
        <w:t>【石油化工板块】</w:t>
      </w:r>
    </w:p>
    <w:p w:rsidR="003308B2" w:rsidRDefault="003308B2" w:rsidP="003308B2">
      <w:pPr>
        <w:spacing w:beforeLines="50" w:before="156" w:line="360" w:lineRule="auto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PTA &amp; MEG &amp; PET：上下游深度疲软</w:t>
      </w:r>
    </w:p>
    <w:p w:rsidR="003308B2" w:rsidRDefault="003308B2" w:rsidP="003308B2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渤商所PTA&amp;MEG&amp;PET:</w:t>
      </w:r>
    </w:p>
    <w:p w:rsidR="003308B2" w:rsidRDefault="003308B2" w:rsidP="003308B2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渤商所PTA本周开盘价4934元/吨、最高价4934元/吨、最低价4552元/吨、收盘价4678元/吨、均价4680元/吨。</w:t>
      </w:r>
    </w:p>
    <w:p w:rsidR="003308B2" w:rsidRDefault="003308B2" w:rsidP="003308B2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渤商所MEG本周横盘整理。</w:t>
      </w:r>
    </w:p>
    <w:p w:rsidR="003308B2" w:rsidRDefault="003308B2" w:rsidP="003308B2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渤商所PET本周开盘价6800元/吨、最高价6800元/吨、最低价6800元/吨、收盘价6800元/吨、均价6800元/吨。</w:t>
      </w:r>
    </w:p>
    <w:p w:rsidR="003308B2" w:rsidRDefault="003308B2" w:rsidP="003308B2">
      <w:pPr>
        <w:spacing w:beforeLines="50" w:before="156" w:line="360" w:lineRule="auto"/>
        <w:ind w:leftChars="50" w:left="105" w:firstLineChars="150" w:firstLine="361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PTA：PX低位，PTA现货充足、价格下行。</w:t>
      </w:r>
      <w:r>
        <w:rPr>
          <w:rFonts w:ascii="仿宋_GB2312" w:eastAsia="仿宋_GB2312" w:hint="eastAsia"/>
          <w:sz w:val="24"/>
          <w:szCs w:val="24"/>
        </w:rPr>
        <w:t>本周PTA现货市场行情逐步走跌，华东主流市场价格由上周五的4980元/吨下跌至本周四的4680元/吨。</w:t>
      </w:r>
    </w:p>
    <w:p w:rsidR="003308B2" w:rsidRDefault="003308B2" w:rsidP="003308B2">
      <w:pPr>
        <w:spacing w:line="360" w:lineRule="auto"/>
        <w:ind w:leftChars="50" w:left="105" w:firstLineChars="150" w:firstLine="36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从产业链角度来看，受原油下跌的影响，PTA上游原料PX价格逐步走跌，周三跌至787美元/吨FOB韩国，周四受到原油企稳的影响，PX价格出现反弹，价格上涨12美元至799美元/吨FOB韩国。整体来说，上游原料PX对PTA的成本支撑薄弱；从PTA本身来看，本周PTA装置逐步恢复开，整体开工率由上周五的52%提升至本周四的68%，PTA 现货供应端承压。但由于上游原料下跌明显，所以本周PTA生产利润呈现上升趋势，本周前期资金亏损，后期呈现小幅盈利。聚酯方面，目前产销低迷，维持60-70%左右，对PTA的采购力度有限，故对PTA拉动不足。综合来看，短期整体上游依旧偏弱，供需格局依旧偏弱，趋势未必改变，中长期仍未见较大利好。</w:t>
      </w:r>
    </w:p>
    <w:p w:rsidR="003308B2" w:rsidRDefault="003308B2" w:rsidP="003308B2">
      <w:pPr>
        <w:spacing w:beforeLines="50" w:before="156" w:line="360" w:lineRule="auto"/>
        <w:ind w:firstLineChars="200" w:firstLine="482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MEG：上下游偏弱，MEG震荡向下。</w:t>
      </w:r>
      <w:r>
        <w:rPr>
          <w:rFonts w:ascii="仿宋_GB2312" w:eastAsia="仿宋_GB2312" w:hint="eastAsia"/>
          <w:sz w:val="24"/>
          <w:szCs w:val="24"/>
        </w:rPr>
        <w:t>本周MEG现货市场价格震荡，华东主流市场价格本周最高达到5900元/吨，最低为5710元/吨。</w:t>
      </w:r>
    </w:p>
    <w:p w:rsidR="003308B2" w:rsidRDefault="003308B2" w:rsidP="003308B2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近期价格由于受到可流通货源偏少、工厂刚性采购及贸易商补空性买盘的支撑仍旧相对坚挺，市场依旧呈现近强远弱的格局。产业链方面：上游乙烯市场行情持续下跌，乙烯东北亚价格由上周五的995美元/吨继续下跌至970美元/吨，MEG成本支撑再次薄弱；同位产品PTA继续下移，对MEG形成拖累；下游聚酯产业链其他环节产品均已处于年内新低。综合以上，随着成本的塌陷乙二醇价格平台逐级跟跌，预计在12月交割前夕震荡盘整的概率较大。</w:t>
      </w:r>
    </w:p>
    <w:p w:rsidR="003308B2" w:rsidRDefault="003308B2" w:rsidP="003308B2">
      <w:pPr>
        <w:spacing w:beforeLines="50" w:before="156" w:line="360" w:lineRule="auto"/>
        <w:ind w:firstLineChars="200" w:firstLine="482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lastRenderedPageBreak/>
        <w:t>PET：产销回落，利润高位。</w:t>
      </w:r>
      <w:r>
        <w:rPr>
          <w:rFonts w:ascii="仿宋_GB2312" w:eastAsia="仿宋_GB2312" w:hint="eastAsia"/>
          <w:sz w:val="24"/>
          <w:szCs w:val="24"/>
        </w:rPr>
        <w:t>本周聚酯行情一路下跌。华东主流市场聚酯切片价格先上涨后下调，聚酯切片价格由6800元/吨降至6400元/吨，涤纶长丝POY价格由8175元/吨上调至7800元/吨。</w:t>
      </w:r>
    </w:p>
    <w:p w:rsidR="003308B2" w:rsidRDefault="003308B2" w:rsidP="003308B2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本周聚酯原料PTA和MEG市场行情弱势，对聚酯产品的成本支撑作用继续弱化；聚酯方面，负荷小幅下降至 8 成，原料刚需尚可，阶段性的产销再次回落至60-70%附近，终端织造加弹开机率73%，订单减少，后期持续性需求乏力；生产润方面，聚酯生产利润下滑，以POY为例，现货生产利润由1080降至670元/吨；下游织造厂家在资金压力下，采购多按需补货为主。综合以上，原油石化弱势震荡，聚酯成本面维持偏弱，而且近期下游需求同样有所走淡，聚酯切片买盘气氛不佳，预计短期聚酯切片维持偏弱震荡。</w:t>
      </w:r>
    </w:p>
    <w:p w:rsidR="003308B2" w:rsidRDefault="003308B2" w:rsidP="003308B2">
      <w:pPr>
        <w:spacing w:beforeLines="50" w:before="156"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本周渤商PTA、MEG、PET价格震荡下行，盘面价格与现货价格的价差波动较大。在目前国内化纤产业链产能严重过剩的情况下，选择在渤商所订立卖出合同，增加销售渠道；也可选择在渤商所订立买入合同，或随采随用。 </w:t>
      </w:r>
    </w:p>
    <w:p w:rsidR="003308B2" w:rsidRDefault="003308B2" w:rsidP="003308B2">
      <w:pPr>
        <w:spacing w:beforeLines="50" w:before="156" w:line="360" w:lineRule="auto"/>
        <w:jc w:val="center"/>
        <w:rPr>
          <w:rFonts w:ascii="仿宋_GB2312" w:eastAsia="仿宋_GB2312" w:hint="eastAsia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PVC（山东）&amp;PVC（华东）</w:t>
      </w:r>
    </w:p>
    <w:p w:rsidR="003308B2" w:rsidRDefault="003308B2" w:rsidP="003308B2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渤商所PVC（山东）本周开盘价5820元/吨、最高价5828元/吨、最低价5740元/吨、收盘价5768元/吨、均价5790元/吨。</w:t>
      </w:r>
    </w:p>
    <w:p w:rsidR="003308B2" w:rsidRDefault="003308B2" w:rsidP="003308B2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渤商所PVC（华东）本周横盘整理。</w:t>
      </w:r>
    </w:p>
    <w:p w:rsidR="003308B2" w:rsidRDefault="003308B2" w:rsidP="003308B2">
      <w:pPr>
        <w:spacing w:line="360" w:lineRule="auto"/>
        <w:ind w:firstLineChars="200" w:firstLine="482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原料电石：</w:t>
      </w:r>
      <w:r>
        <w:rPr>
          <w:rFonts w:ascii="仿宋_GB2312" w:eastAsia="仿宋_GB2312" w:hint="eastAsia"/>
          <w:sz w:val="24"/>
          <w:szCs w:val="24"/>
        </w:rPr>
        <w:t>本周电石市场供应平稳，下游需求情况尚可，市场交投积极性尚可，市场行情盘整；</w:t>
      </w:r>
    </w:p>
    <w:p w:rsidR="003308B2" w:rsidRDefault="003308B2" w:rsidP="003308B2">
      <w:pPr>
        <w:spacing w:line="360" w:lineRule="auto"/>
        <w:ind w:firstLineChars="200" w:firstLine="482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PVC现货市场：价格坚挺，整体稳定。</w:t>
      </w:r>
      <w:r>
        <w:rPr>
          <w:rFonts w:ascii="仿宋_GB2312" w:eastAsia="仿宋_GB2312" w:hint="eastAsia"/>
          <w:sz w:val="24"/>
          <w:szCs w:val="24"/>
        </w:rPr>
        <w:t xml:space="preserve">本周现货PVC市场价格平稳，商家大都随行就市，下游厂家需求萎靡，观望情绪浓厚，交投不振。 </w:t>
      </w:r>
    </w:p>
    <w:p w:rsidR="003308B2" w:rsidRDefault="003308B2" w:rsidP="003308B2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本周渤商所PVC(山东)价格维持平稳，PVC（华东）横盘整理，盘面价格与山东主流市场价格低10元/吨左右，商家可在目前国内PVC产能严重过剩的情况下，在渤商所订立买入合同，降低成本。</w:t>
      </w:r>
    </w:p>
    <w:p w:rsidR="003308B2" w:rsidRDefault="003308B2" w:rsidP="003308B2">
      <w:pPr>
        <w:spacing w:beforeLines="50" w:before="156" w:line="360" w:lineRule="auto"/>
        <w:jc w:val="center"/>
        <w:rPr>
          <w:rFonts w:ascii="仿宋_GB2312" w:eastAsia="仿宋_GB2312" w:hint="eastAsia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聚丙烯拉丝级（中轻）</w:t>
      </w:r>
    </w:p>
    <w:p w:rsidR="003308B2" w:rsidRDefault="003308B2" w:rsidP="003308B2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渤商所聚丙烯拉丝级（中轻）本周开盘价7450元/吨、最高价7630元/吨、最低价7400元/吨、收盘价7501元/吨、均价7522元/吨。</w:t>
      </w:r>
    </w:p>
    <w:p w:rsidR="003308B2" w:rsidRDefault="003308B2" w:rsidP="003308B2">
      <w:pPr>
        <w:spacing w:line="360" w:lineRule="auto"/>
        <w:ind w:firstLineChars="200" w:firstLine="482"/>
        <w:rPr>
          <w:rFonts w:hint="eastAsia"/>
          <w:color w:val="333333"/>
          <w:szCs w:val="21"/>
          <w:shd w:val="clear" w:color="auto" w:fill="FFFFFF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上游原料; </w:t>
      </w:r>
      <w:r>
        <w:rPr>
          <w:rFonts w:ascii="仿宋_GB2312" w:eastAsia="仿宋_GB2312" w:hint="eastAsia"/>
          <w:sz w:val="24"/>
          <w:szCs w:val="24"/>
        </w:rPr>
        <w:t>截至12月18日当日收盘时，纽约商品交易所2015年1月交货</w:t>
      </w:r>
      <w:r>
        <w:rPr>
          <w:rFonts w:ascii="仿宋_GB2312" w:eastAsia="仿宋_GB2312" w:hint="eastAsia"/>
          <w:sz w:val="24"/>
          <w:szCs w:val="24"/>
        </w:rPr>
        <w:lastRenderedPageBreak/>
        <w:t>的轻质原油期货价格下跌2.36美元，收于每桶54.11美元，跌幅为4.18%。2015年2月交货的伦敦布伦特原油期货价格下跌1.91美元，收于每桶59.27美元，跌幅为3.12%。</w:t>
      </w:r>
    </w:p>
    <w:p w:rsidR="003308B2" w:rsidRDefault="003308B2" w:rsidP="003308B2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聚丙烯现货市场： PP价格震荡下跌。</w:t>
      </w:r>
      <w:r>
        <w:rPr>
          <w:rFonts w:ascii="仿宋_GB2312" w:eastAsia="仿宋_GB2312" w:hint="eastAsia"/>
          <w:sz w:val="24"/>
          <w:szCs w:val="24"/>
        </w:rPr>
        <w:t>本周，部分石化企业调低出厂价，市场看空心态浓厚。本周华东地区报价下跌，下游企业按需采购为主，观望后市，市场成交情况一般。截至周五，华东地区市场价在9198元/吨。</w:t>
      </w:r>
    </w:p>
    <w:p w:rsidR="003308B2" w:rsidRDefault="003308B2" w:rsidP="003308B2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PP价格小幅上涨；盘面价格低于华东现货市场价格100-400元/吨左右，生产企业可选择在渤商所订立买入合同，或随采随用；也可在目前国内PP产能严重过剩的情况下，在渤商所订立卖出合同，增加销售渠道。</w:t>
      </w:r>
    </w:p>
    <w:p w:rsidR="00961973" w:rsidRDefault="00961973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3308B2" w:rsidRDefault="003308B2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3308B2" w:rsidRDefault="003308B2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3308B2" w:rsidRDefault="003308B2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3308B2" w:rsidRDefault="003308B2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3308B2" w:rsidRDefault="003308B2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3308B2" w:rsidRDefault="003308B2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3308B2" w:rsidRDefault="003308B2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3308B2" w:rsidRDefault="003308B2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3308B2" w:rsidRDefault="003308B2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3308B2" w:rsidRDefault="003308B2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3308B2" w:rsidRPr="003308B2" w:rsidRDefault="003308B2" w:rsidP="003308B2">
      <w:pPr>
        <w:spacing w:beforeLines="100" w:before="312" w:line="360" w:lineRule="auto"/>
        <w:outlineLvl w:val="0"/>
        <w:rPr>
          <w:rFonts w:ascii="宋体" w:hAnsi="宋体" w:cs="宋体"/>
          <w:b/>
          <w:kern w:val="0"/>
          <w:sz w:val="24"/>
          <w:szCs w:val="24"/>
        </w:rPr>
      </w:pPr>
      <w:bookmarkStart w:id="0" w:name="_GoBack"/>
      <w:bookmarkEnd w:id="0"/>
    </w:p>
    <w:p w:rsidR="00961973" w:rsidRDefault="00D945F3">
      <w:pPr>
        <w:widowControl/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p w:rsidR="00961973" w:rsidRDefault="00961973"/>
    <w:sectPr w:rsidR="00961973">
      <w:headerReference w:type="defaul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A0" w:rsidRDefault="00CE64A0">
      <w:r>
        <w:separator/>
      </w:r>
    </w:p>
  </w:endnote>
  <w:endnote w:type="continuationSeparator" w:id="0">
    <w:p w:rsidR="00CE64A0" w:rsidRDefault="00CE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A0" w:rsidRDefault="00CE64A0">
      <w:r>
        <w:separator/>
      </w:r>
    </w:p>
  </w:footnote>
  <w:footnote w:type="continuationSeparator" w:id="0">
    <w:p w:rsidR="00CE64A0" w:rsidRDefault="00CE6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73" w:rsidRDefault="009619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973"/>
    <w:rsid w:val="00010147"/>
    <w:rsid w:val="000E6BC4"/>
    <w:rsid w:val="0015746D"/>
    <w:rsid w:val="001A2326"/>
    <w:rsid w:val="001F7851"/>
    <w:rsid w:val="00210D3B"/>
    <w:rsid w:val="002B0D27"/>
    <w:rsid w:val="002B3A1E"/>
    <w:rsid w:val="002D4565"/>
    <w:rsid w:val="003308B2"/>
    <w:rsid w:val="003D0ACE"/>
    <w:rsid w:val="004243BA"/>
    <w:rsid w:val="00501EE3"/>
    <w:rsid w:val="0052743C"/>
    <w:rsid w:val="005749A9"/>
    <w:rsid w:val="00685356"/>
    <w:rsid w:val="00696459"/>
    <w:rsid w:val="006E7402"/>
    <w:rsid w:val="0078714E"/>
    <w:rsid w:val="00791A0C"/>
    <w:rsid w:val="007C7048"/>
    <w:rsid w:val="007C7074"/>
    <w:rsid w:val="00802EDF"/>
    <w:rsid w:val="00914AF5"/>
    <w:rsid w:val="00961973"/>
    <w:rsid w:val="009D1C72"/>
    <w:rsid w:val="009D72C2"/>
    <w:rsid w:val="00A25483"/>
    <w:rsid w:val="00A97113"/>
    <w:rsid w:val="00AB0CA6"/>
    <w:rsid w:val="00BA0F07"/>
    <w:rsid w:val="00C059EA"/>
    <w:rsid w:val="00C52BAB"/>
    <w:rsid w:val="00C67919"/>
    <w:rsid w:val="00C871F7"/>
    <w:rsid w:val="00CE64A0"/>
    <w:rsid w:val="00D106A7"/>
    <w:rsid w:val="00D126B3"/>
    <w:rsid w:val="00D569E7"/>
    <w:rsid w:val="00D945F3"/>
    <w:rsid w:val="00DC0B2F"/>
    <w:rsid w:val="00DD3A73"/>
    <w:rsid w:val="00DE74E8"/>
    <w:rsid w:val="00E0562D"/>
    <w:rsid w:val="00F851BC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rPr>
      <w:rFonts w:ascii="ˎ̥" w:hAnsi="ˎ̥" w:hint="default"/>
      <w:color w:val="000000"/>
      <w:u w:val="none"/>
    </w:rPr>
  </w:style>
  <w:style w:type="paragraph" w:customStyle="1" w:styleId="11">
    <w:name w:val="列出段落11"/>
    <w:pPr>
      <w:ind w:firstLineChars="200" w:firstLine="420"/>
    </w:pPr>
    <w:rPr>
      <w:rFonts w:ascii="Calibri" w:hAnsi="Calibri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列出段落3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4">
    <w:name w:val="列出段落4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5">
    <w:name w:val="列出段落5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6">
    <w:name w:val="列出段落6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7">
    <w:name w:val="列出段落7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customStyle="1" w:styleId="8">
    <w:name w:val="列出段落8"/>
    <w:basedOn w:val="a"/>
    <w:uiPriority w:val="99"/>
    <w:rsid w:val="00F851BC"/>
    <w:pPr>
      <w:ind w:firstLineChars="200" w:firstLine="420"/>
    </w:pPr>
    <w:rPr>
      <w:rFonts w:ascii="Calibri" w:hAnsi="Calibri"/>
      <w:szCs w:val="22"/>
    </w:rPr>
  </w:style>
  <w:style w:type="paragraph" w:customStyle="1" w:styleId="9">
    <w:name w:val="列出段落9"/>
    <w:basedOn w:val="a"/>
    <w:uiPriority w:val="99"/>
    <w:rsid w:val="003D0ACE"/>
    <w:pPr>
      <w:ind w:firstLineChars="200" w:firstLine="420"/>
    </w:pPr>
    <w:rPr>
      <w:rFonts w:ascii="Calibri" w:hAnsi="Calibri"/>
      <w:szCs w:val="22"/>
    </w:rPr>
  </w:style>
  <w:style w:type="paragraph" w:customStyle="1" w:styleId="100">
    <w:name w:val="列出段落10"/>
    <w:basedOn w:val="a"/>
    <w:uiPriority w:val="99"/>
    <w:rsid w:val="00A97113"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列出段落12"/>
    <w:basedOn w:val="a"/>
    <w:uiPriority w:val="99"/>
    <w:rsid w:val="00E0562D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qFormat/>
    <w:rsid w:val="00914AF5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.org.cn/CoalIndex/chs/ne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sc.org.cn/IndexCenter/Shipping/ch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c.org.cn/CoalIndex/chs/new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【煤炭能源板块】</dc:title>
  <dc:creator>user</dc:creator>
  <cp:lastModifiedBy>DELL</cp:lastModifiedBy>
  <cp:revision>23</cp:revision>
  <dcterms:created xsi:type="dcterms:W3CDTF">2014-06-27T09:27:00Z</dcterms:created>
  <dcterms:modified xsi:type="dcterms:W3CDTF">2014-12-19T09:33:00Z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