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73" w:rsidRDefault="00D945F3">
      <w:pPr>
        <w:pStyle w:val="10"/>
        <w:tabs>
          <w:tab w:val="left" w:pos="7088"/>
        </w:tabs>
        <w:spacing w:line="360" w:lineRule="auto"/>
        <w:ind w:firstLineChars="0" w:firstLine="0"/>
        <w:rPr>
          <w:rFonts w:ascii="仿宋_GB2312" w:eastAsia="仿宋_GB2312"/>
          <w:b/>
          <w:sz w:val="24"/>
        </w:rPr>
      </w:pPr>
      <w:r>
        <w:rPr>
          <w:rFonts w:hAnsi="仿宋_GB2312"/>
          <w:b/>
          <w:bCs/>
          <w:sz w:val="36"/>
          <w:szCs w:val="36"/>
        </w:rPr>
        <w:t>【</w:t>
      </w:r>
      <w:r>
        <w:rPr>
          <w:rFonts w:hAnsi="仿宋_GB2312" w:hint="eastAsia"/>
          <w:b/>
          <w:bCs/>
          <w:sz w:val="36"/>
          <w:szCs w:val="36"/>
        </w:rPr>
        <w:t>煤炭能源</w:t>
      </w:r>
      <w:r>
        <w:rPr>
          <w:rFonts w:hAnsi="仿宋_GB2312"/>
          <w:b/>
          <w:bCs/>
          <w:sz w:val="36"/>
          <w:szCs w:val="36"/>
        </w:rPr>
        <w:t>板块】</w:t>
      </w:r>
    </w:p>
    <w:p w:rsidR="00304C77" w:rsidRPr="00DE6E6F" w:rsidRDefault="00304C77" w:rsidP="00304C77">
      <w:pPr>
        <w:pStyle w:val="10"/>
        <w:tabs>
          <w:tab w:val="left" w:pos="7088"/>
        </w:tabs>
        <w:spacing w:line="360" w:lineRule="auto"/>
        <w:ind w:firstLineChars="0" w:firstLine="0"/>
        <w:rPr>
          <w:rFonts w:ascii="仿宋_GB2312" w:eastAsia="仿宋_GB2312" w:hAnsi="仿宋"/>
          <w:b/>
          <w:sz w:val="24"/>
        </w:rPr>
      </w:pPr>
      <w:r w:rsidRPr="00DE6E6F">
        <w:rPr>
          <w:rFonts w:ascii="仿宋_GB2312" w:eastAsia="仿宋_GB2312" w:hAnsi="仿宋" w:hint="eastAsia"/>
          <w:b/>
          <w:sz w:val="24"/>
        </w:rPr>
        <w:t>焦煤：</w:t>
      </w:r>
      <w:r>
        <w:rPr>
          <w:rFonts w:ascii="仿宋_GB2312" w:eastAsia="仿宋_GB2312" w:hAnsi="仿宋" w:hint="eastAsia"/>
          <w:b/>
          <w:sz w:val="24"/>
        </w:rPr>
        <w:t>下跌</w:t>
      </w:r>
    </w:p>
    <w:p w:rsidR="00304C77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276204">
        <w:rPr>
          <w:rFonts w:ascii="仿宋_GB2312" w:eastAsia="仿宋_GB2312" w:hAnsi="仿宋" w:hint="eastAsia"/>
          <w:sz w:val="24"/>
          <w:szCs w:val="24"/>
        </w:rPr>
        <w:t>本周焦煤价格</w:t>
      </w:r>
      <w:r>
        <w:rPr>
          <w:rFonts w:ascii="仿宋_GB2312" w:eastAsia="仿宋_GB2312" w:hAnsi="仿宋" w:hint="eastAsia"/>
          <w:sz w:val="24"/>
          <w:szCs w:val="24"/>
        </w:rPr>
        <w:t>出现一波震荡下行</w:t>
      </w:r>
      <w:r w:rsidRPr="00276204">
        <w:rPr>
          <w:rFonts w:ascii="仿宋_GB2312" w:eastAsia="仿宋_GB2312" w:hAnsi="仿宋" w:hint="eastAsia"/>
          <w:sz w:val="24"/>
          <w:szCs w:val="24"/>
        </w:rPr>
        <w:t>。周五渤海商品交易所焦煤出现</w:t>
      </w:r>
      <w:r w:rsidRPr="00276204">
        <w:rPr>
          <w:rFonts w:ascii="仿宋_GB2312" w:eastAsia="仿宋_GB2312" w:hAnsi="仿宋"/>
          <w:sz w:val="24"/>
          <w:szCs w:val="24"/>
        </w:rPr>
        <w:t>价格回</w:t>
      </w:r>
      <w:r>
        <w:rPr>
          <w:rFonts w:ascii="仿宋_GB2312" w:eastAsia="仿宋_GB2312" w:hAnsi="仿宋" w:hint="eastAsia"/>
          <w:sz w:val="24"/>
          <w:szCs w:val="24"/>
        </w:rPr>
        <w:t>落</w:t>
      </w:r>
      <w:r w:rsidRPr="00276204">
        <w:rPr>
          <w:rFonts w:ascii="仿宋_GB2312" w:eastAsia="仿宋_GB2312" w:hAnsi="仿宋" w:hint="eastAsia"/>
          <w:sz w:val="24"/>
          <w:szCs w:val="24"/>
        </w:rPr>
        <w:t>收于</w:t>
      </w:r>
      <w:r>
        <w:rPr>
          <w:rFonts w:ascii="仿宋_GB2312" w:eastAsia="仿宋_GB2312" w:hAnsi="仿宋"/>
          <w:sz w:val="24"/>
          <w:szCs w:val="24"/>
        </w:rPr>
        <w:t>589</w:t>
      </w:r>
      <w:r w:rsidRPr="00276204">
        <w:rPr>
          <w:rFonts w:ascii="仿宋_GB2312" w:eastAsia="仿宋_GB2312" w:hAnsi="仿宋" w:hint="eastAsia"/>
          <w:sz w:val="24"/>
          <w:szCs w:val="24"/>
        </w:rPr>
        <w:t>元，交易量与订货量稳定。</w:t>
      </w:r>
    </w:p>
    <w:p w:rsidR="00304C77" w:rsidRPr="00D444CC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D444CC">
        <w:rPr>
          <w:rFonts w:ascii="仿宋_GB2312" w:eastAsia="仿宋_GB2312" w:hAnsi="仿宋" w:hint="eastAsia"/>
          <w:sz w:val="24"/>
          <w:szCs w:val="24"/>
        </w:rPr>
        <w:t>国内黑色产业链严重过剩的弊端由来已久，在经济增长放缓背景下越为明显，如何消化过剩产能一直是产业</w:t>
      </w:r>
      <w:proofErr w:type="gramStart"/>
      <w:r w:rsidRPr="00D444CC">
        <w:rPr>
          <w:rFonts w:ascii="仿宋_GB2312" w:eastAsia="仿宋_GB2312" w:hAnsi="仿宋" w:hint="eastAsia"/>
          <w:sz w:val="24"/>
          <w:szCs w:val="24"/>
        </w:rPr>
        <w:t>链企业</w:t>
      </w:r>
      <w:proofErr w:type="gramEnd"/>
      <w:r w:rsidRPr="00D444CC">
        <w:rPr>
          <w:rFonts w:ascii="仿宋_GB2312" w:eastAsia="仿宋_GB2312" w:hAnsi="仿宋" w:hint="eastAsia"/>
          <w:sz w:val="24"/>
          <w:szCs w:val="24"/>
        </w:rPr>
        <w:t>一直探寻的出路，而增加对外出口正是打开下游需求的一条很好渠道。在此影响下，焦炭和钢材出口大幅走高。焦炭出口保持良好增长局面。海关数据显示，10月份全国焦炭出口量为82万吨，同比增长59%，1-10月份累计出口焦炭656万吨，同比增长1.02倍，其中山西焦炭的出口量超过90%。在国内因为产能严重过剩而对焦炭进行限产的背景下，出口的持续增长，是“开源节流”，双向并举，能够有效缓解国内焦炭市场的供应压力。</w:t>
      </w:r>
    </w:p>
    <w:p w:rsidR="00304C77" w:rsidRPr="00D444CC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D444CC">
        <w:rPr>
          <w:rFonts w:ascii="仿宋_GB2312" w:eastAsia="仿宋_GB2312" w:hAnsi="仿宋" w:hint="eastAsia"/>
          <w:sz w:val="24"/>
          <w:szCs w:val="24"/>
        </w:rPr>
        <w:t>整个黑色产业链的出口增长不仅仅限于焦炭，钢材出口也继续走高。海关数据显示，10月份我国钢材出口量达到855万吨，是继9月份出口852万吨之后，再度刷新单月出口新纪录，1-10月份，我国累计出口钢材7389.28万吨，同比增长42.2%，全年出口8000万吨指日可待。在国内需求持续疲软的背景下，钢材价格的持续走低已经拉大了内外的价差空间，此时</w:t>
      </w:r>
      <w:proofErr w:type="gramStart"/>
      <w:r w:rsidRPr="00D444CC">
        <w:rPr>
          <w:rFonts w:ascii="仿宋_GB2312" w:eastAsia="仿宋_GB2312" w:hAnsi="仿宋" w:hint="eastAsia"/>
          <w:sz w:val="24"/>
          <w:szCs w:val="24"/>
        </w:rPr>
        <w:t>钢企加大</w:t>
      </w:r>
      <w:proofErr w:type="gramEnd"/>
      <w:r w:rsidRPr="00D444CC">
        <w:rPr>
          <w:rFonts w:ascii="仿宋_GB2312" w:eastAsia="仿宋_GB2312" w:hAnsi="仿宋" w:hint="eastAsia"/>
          <w:sz w:val="24"/>
          <w:szCs w:val="24"/>
        </w:rPr>
        <w:t>出口量也有利于化解国内产能过剩。</w:t>
      </w:r>
    </w:p>
    <w:p w:rsidR="00304C77" w:rsidRPr="003E1302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D444CC">
        <w:rPr>
          <w:rFonts w:ascii="仿宋_GB2312" w:eastAsia="仿宋_GB2312" w:hAnsi="仿宋" w:hint="eastAsia"/>
          <w:sz w:val="24"/>
          <w:szCs w:val="24"/>
        </w:rPr>
        <w:t>不过11月份中旬正值APEC会议的召开，河北省的钢厂停产比例在70%-80%之间，粗钢产量有所下滑，在10月下旬日均产量一度降至163.15万吨，</w:t>
      </w:r>
      <w:proofErr w:type="gramStart"/>
      <w:r w:rsidRPr="00D444CC">
        <w:rPr>
          <w:rFonts w:ascii="仿宋_GB2312" w:eastAsia="仿宋_GB2312" w:hAnsi="仿宋" w:hint="eastAsia"/>
          <w:sz w:val="24"/>
          <w:szCs w:val="24"/>
        </w:rPr>
        <w:t>旬比下降</w:t>
      </w:r>
      <w:proofErr w:type="gramEnd"/>
      <w:r w:rsidRPr="00D444CC">
        <w:rPr>
          <w:rFonts w:ascii="仿宋_GB2312" w:eastAsia="仿宋_GB2312" w:hAnsi="仿宋" w:hint="eastAsia"/>
          <w:sz w:val="24"/>
          <w:szCs w:val="24"/>
        </w:rPr>
        <w:t>7.45%，为年内最低值，整个唐山钢厂的高炉开工率也从90%以上突降至不足50%，对钢厂影响较大，也在一定程度上限制了对焦炭的需求，但是在整个黑色产业链限产背景下，对焦炭需求的影响是短暂而有限的。年底还要关注钢材的冬储需求，尽管目前的市场行情今非昔比，贸易商还要考虑库存压力和资金成本，冬储的需求不可同日而语，但是作为国内市场传统的购销旺季，还是会对现货市场和期货市场价格有一定的提振。综合需求端分析，我们认为，在宏观政策偏向宽松的背景下，焦炭和钢材出口的大幅增长，同时又在传统冬储旺季来临之时，必将对整个黑色产业链有所提振，煤焦需求势必有所好转，价格也将得到提振。</w:t>
      </w:r>
    </w:p>
    <w:p w:rsidR="00304C77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276204">
        <w:rPr>
          <w:rFonts w:ascii="仿宋_GB2312" w:eastAsia="仿宋_GB2312" w:hAnsi="仿宋" w:hint="eastAsia"/>
          <w:sz w:val="24"/>
          <w:szCs w:val="24"/>
        </w:rPr>
        <w:t>大商所150</w:t>
      </w:r>
      <w:r>
        <w:rPr>
          <w:rFonts w:ascii="仿宋_GB2312" w:eastAsia="仿宋_GB2312" w:hAnsi="仿宋"/>
          <w:sz w:val="24"/>
          <w:szCs w:val="24"/>
        </w:rPr>
        <w:t>5</w:t>
      </w:r>
      <w:r w:rsidRPr="00276204">
        <w:rPr>
          <w:rFonts w:ascii="仿宋_GB2312" w:eastAsia="仿宋_GB2312" w:hAnsi="仿宋" w:hint="eastAsia"/>
          <w:sz w:val="24"/>
          <w:szCs w:val="24"/>
        </w:rPr>
        <w:t>合约价格与</w:t>
      </w:r>
      <w:proofErr w:type="gramStart"/>
      <w:r w:rsidRPr="00276204">
        <w:rPr>
          <w:rFonts w:ascii="仿宋_GB2312" w:eastAsia="仿宋_GB2312" w:hAnsi="仿宋" w:hint="eastAsia"/>
          <w:sz w:val="24"/>
          <w:szCs w:val="24"/>
        </w:rPr>
        <w:t>渤</w:t>
      </w:r>
      <w:proofErr w:type="gramEnd"/>
      <w:r w:rsidRPr="00276204">
        <w:rPr>
          <w:rFonts w:ascii="仿宋_GB2312" w:eastAsia="仿宋_GB2312" w:hAnsi="仿宋" w:hint="eastAsia"/>
          <w:sz w:val="24"/>
          <w:szCs w:val="24"/>
        </w:rPr>
        <w:t>商所焦煤现价有一定价差，投资者可寻找跨市套</w:t>
      </w:r>
      <w:r w:rsidRPr="00276204">
        <w:rPr>
          <w:rFonts w:ascii="仿宋_GB2312" w:eastAsia="仿宋_GB2312" w:hAnsi="仿宋" w:hint="eastAsia"/>
          <w:sz w:val="24"/>
          <w:szCs w:val="24"/>
        </w:rPr>
        <w:lastRenderedPageBreak/>
        <w:t>利机会。个人投资者顺势而为，及时止盈止损。</w:t>
      </w:r>
    </w:p>
    <w:p w:rsidR="00304C77" w:rsidRDefault="00304C77" w:rsidP="00304C77">
      <w:pPr>
        <w:pStyle w:val="10"/>
        <w:tabs>
          <w:tab w:val="left" w:pos="7088"/>
        </w:tabs>
        <w:spacing w:line="360" w:lineRule="auto"/>
        <w:ind w:firstLineChars="0" w:firstLine="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焦炭：下跌</w:t>
      </w:r>
    </w:p>
    <w:p w:rsidR="00304C77" w:rsidRPr="00FB79EE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FB79EE">
        <w:rPr>
          <w:rFonts w:ascii="仿宋_GB2312" w:eastAsia="仿宋_GB2312" w:hAnsi="仿宋" w:hint="eastAsia"/>
          <w:sz w:val="24"/>
          <w:szCs w:val="24"/>
        </w:rPr>
        <w:t>本周焦煤价格相对上周</w:t>
      </w:r>
      <w:r>
        <w:rPr>
          <w:rFonts w:ascii="仿宋_GB2312" w:eastAsia="仿宋_GB2312" w:hAnsi="仿宋" w:hint="eastAsia"/>
          <w:sz w:val="24"/>
          <w:szCs w:val="24"/>
        </w:rPr>
        <w:t>下跌</w:t>
      </w:r>
      <w:r w:rsidRPr="00FB79EE">
        <w:rPr>
          <w:rFonts w:ascii="仿宋_GB2312" w:eastAsia="仿宋_GB2312" w:hAnsi="仿宋" w:hint="eastAsia"/>
          <w:sz w:val="24"/>
          <w:szCs w:val="24"/>
        </w:rPr>
        <w:t>。周五渤海商品交易所焦炭小幅</w:t>
      </w:r>
      <w:r>
        <w:rPr>
          <w:rFonts w:ascii="仿宋_GB2312" w:eastAsia="仿宋_GB2312" w:hAnsi="仿宋" w:hint="eastAsia"/>
          <w:sz w:val="24"/>
          <w:szCs w:val="24"/>
        </w:rPr>
        <w:t>下跌</w:t>
      </w:r>
      <w:r w:rsidRPr="00FB79EE">
        <w:rPr>
          <w:rFonts w:ascii="仿宋_GB2312" w:eastAsia="仿宋_GB2312" w:hAnsi="仿宋" w:hint="eastAsia"/>
          <w:sz w:val="24"/>
          <w:szCs w:val="24"/>
        </w:rPr>
        <w:t>收于</w:t>
      </w:r>
      <w:r w:rsidRPr="00FB79EE">
        <w:rPr>
          <w:rFonts w:ascii="仿宋_GB2312" w:eastAsia="仿宋_GB2312" w:hAnsi="仿宋"/>
          <w:sz w:val="24"/>
          <w:szCs w:val="24"/>
        </w:rPr>
        <w:t>10</w:t>
      </w:r>
      <w:r>
        <w:rPr>
          <w:rFonts w:ascii="仿宋_GB2312" w:eastAsia="仿宋_GB2312" w:hAnsi="仿宋"/>
          <w:sz w:val="24"/>
          <w:szCs w:val="24"/>
        </w:rPr>
        <w:t>00</w:t>
      </w:r>
      <w:r w:rsidRPr="00FB79EE">
        <w:rPr>
          <w:rFonts w:ascii="仿宋_GB2312" w:eastAsia="仿宋_GB2312" w:hAnsi="仿宋" w:hint="eastAsia"/>
          <w:sz w:val="24"/>
          <w:szCs w:val="24"/>
        </w:rPr>
        <w:t>元，交易量与订货量稳定。</w:t>
      </w:r>
    </w:p>
    <w:p w:rsidR="00304C77" w:rsidRPr="00D444CC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D444CC">
        <w:rPr>
          <w:rFonts w:ascii="仿宋_GB2312" w:eastAsia="仿宋_GB2312" w:hAnsi="仿宋" w:hint="eastAsia"/>
          <w:sz w:val="24"/>
          <w:szCs w:val="24"/>
        </w:rPr>
        <w:t>焦炭产量同比下降，10月我国焦炭产量4065万吨，同比下降1%，日均产量131.13万吨，环比下降1.9%；1-10月产量39510万吨，同比下降0.3%。随着APEC会议结束，钢厂高炉开工率有所回升，截至11月21日，回升到89.09，回升到10</w:t>
      </w:r>
      <w:r>
        <w:rPr>
          <w:rFonts w:ascii="仿宋_GB2312" w:eastAsia="仿宋_GB2312" w:hAnsi="仿宋" w:hint="eastAsia"/>
          <w:sz w:val="24"/>
          <w:szCs w:val="24"/>
        </w:rPr>
        <w:t>月初水平。</w:t>
      </w:r>
      <w:r w:rsidRPr="00D444CC">
        <w:rPr>
          <w:rFonts w:ascii="仿宋_GB2312" w:eastAsia="仿宋_GB2312" w:hAnsi="仿宋" w:hint="eastAsia"/>
          <w:sz w:val="24"/>
          <w:szCs w:val="24"/>
        </w:rPr>
        <w:t>截至11月21日当周，天津港焦炭库存维持在172万吨附近，高位回落。连云港焦炭库存维持在24.8万吨附近，回落明显。</w:t>
      </w:r>
    </w:p>
    <w:p w:rsidR="00304C77" w:rsidRPr="00D444CC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D444CC">
        <w:rPr>
          <w:rFonts w:ascii="仿宋_GB2312" w:eastAsia="仿宋_GB2312" w:hAnsi="仿宋" w:hint="eastAsia"/>
          <w:sz w:val="24"/>
          <w:szCs w:val="24"/>
        </w:rPr>
        <w:t>中国人民银行决定，自2014年11月22日起下调金融机构人民币贷款和存款基准利率。金融机构一年</w:t>
      </w:r>
      <w:proofErr w:type="gramStart"/>
      <w:r w:rsidRPr="00D444CC">
        <w:rPr>
          <w:rFonts w:ascii="仿宋_GB2312" w:eastAsia="仿宋_GB2312" w:hAnsi="仿宋" w:hint="eastAsia"/>
          <w:sz w:val="24"/>
          <w:szCs w:val="24"/>
        </w:rPr>
        <w:t>期贷</w:t>
      </w:r>
      <w:proofErr w:type="gramEnd"/>
      <w:r w:rsidRPr="00D444CC">
        <w:rPr>
          <w:rFonts w:ascii="仿宋_GB2312" w:eastAsia="仿宋_GB2312" w:hAnsi="仿宋" w:hint="eastAsia"/>
          <w:sz w:val="24"/>
          <w:szCs w:val="24"/>
        </w:rPr>
        <w:t>款基准利率下调0.4个百分点至5.6%；一年期存款基准利率下调0.25个百分点至2.75%。路透社援引接触决策层的消息人士指出，中国意外降息反映了中央政府和中国央行的方向调整，为两年来首次大调整，之前一直坚持温和的刺激措施。</w:t>
      </w:r>
    </w:p>
    <w:p w:rsidR="00304C77" w:rsidRPr="00D444CC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D444CC">
        <w:rPr>
          <w:rFonts w:ascii="仿宋_GB2312" w:eastAsia="仿宋_GB2312" w:hAnsi="仿宋" w:hint="eastAsia"/>
          <w:sz w:val="24"/>
          <w:szCs w:val="24"/>
        </w:rPr>
        <w:t>中国第三季度经济增速下滑至7.3%，PPI和CPI指数均表现疲软，决策层担心经济增速跌破7%，而7%的经济增速是全球经济危机以来不曾见到的。参与内部决策的一位智囊团经济专家表示，“高层领导已经转变观点”。这位匿名经济学家称，中国央行已经转向全面刺激，并可能再次降息并下调银行准备金率。</w:t>
      </w:r>
    </w:p>
    <w:p w:rsidR="00304C77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D444CC">
        <w:rPr>
          <w:rFonts w:ascii="仿宋_GB2312" w:eastAsia="仿宋_GB2312" w:hAnsi="仿宋" w:hint="eastAsia"/>
          <w:sz w:val="24"/>
          <w:szCs w:val="24"/>
        </w:rPr>
        <w:t>降息对地产利好。对于开发商而言，一方面，降低了融资成本减轻资金链压力，有助于释放杠杆调整财务；另一方面，突如其来的利好亦如一剂猛药，有助于刺激销售、突击业绩、特别是有助于去</w:t>
      </w:r>
      <w:proofErr w:type="gramStart"/>
      <w:r w:rsidRPr="00D444CC">
        <w:rPr>
          <w:rFonts w:ascii="仿宋_GB2312" w:eastAsia="仿宋_GB2312" w:hAnsi="仿宋" w:hint="eastAsia"/>
          <w:sz w:val="24"/>
          <w:szCs w:val="24"/>
        </w:rPr>
        <w:t>化刚需的</w:t>
      </w:r>
      <w:proofErr w:type="gramEnd"/>
      <w:r w:rsidRPr="00D444CC">
        <w:rPr>
          <w:rFonts w:ascii="仿宋_GB2312" w:eastAsia="仿宋_GB2312" w:hAnsi="仿宋" w:hint="eastAsia"/>
          <w:sz w:val="24"/>
          <w:szCs w:val="24"/>
        </w:rPr>
        <w:t>开发商。而对于购房者来说无疑将减轻还款压力，以一笔100万元的商业房贷为例，基准利率按照20年等额本息还款计算，降息前月供为7485.2元，降息后，</w:t>
      </w:r>
      <w:proofErr w:type="gramStart"/>
      <w:r w:rsidRPr="00D444CC">
        <w:rPr>
          <w:rFonts w:ascii="仿宋_GB2312" w:eastAsia="仿宋_GB2312" w:hAnsi="仿宋" w:hint="eastAsia"/>
          <w:sz w:val="24"/>
          <w:szCs w:val="24"/>
        </w:rPr>
        <w:t>月供将降至</w:t>
      </w:r>
      <w:proofErr w:type="gramEnd"/>
      <w:r w:rsidRPr="00D444CC">
        <w:rPr>
          <w:rFonts w:ascii="仿宋_GB2312" w:eastAsia="仿宋_GB2312" w:hAnsi="仿宋" w:hint="eastAsia"/>
          <w:sz w:val="24"/>
          <w:szCs w:val="24"/>
        </w:rPr>
        <w:t>7251.12元，每月减负234.08元，全年可减负2808.96元，20年可以减少4万元的利息支出。</w:t>
      </w:r>
    </w:p>
    <w:p w:rsidR="00304C77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FB79EE">
        <w:rPr>
          <w:rFonts w:ascii="仿宋_GB2312" w:eastAsia="仿宋_GB2312" w:hAnsi="仿宋" w:hint="eastAsia"/>
          <w:sz w:val="24"/>
          <w:szCs w:val="24"/>
        </w:rPr>
        <w:t>大商所</w:t>
      </w:r>
      <w:r w:rsidRPr="00FB79EE">
        <w:rPr>
          <w:rFonts w:ascii="仿宋_GB2312" w:eastAsia="仿宋_GB2312" w:hAnsi="仿宋"/>
          <w:sz w:val="24"/>
          <w:szCs w:val="24"/>
        </w:rPr>
        <w:t>1505</w:t>
      </w:r>
      <w:r>
        <w:rPr>
          <w:rFonts w:ascii="仿宋_GB2312" w:eastAsia="仿宋_GB2312" w:hAnsi="仿宋" w:hint="eastAsia"/>
          <w:sz w:val="24"/>
          <w:szCs w:val="24"/>
        </w:rPr>
        <w:t>合约价格与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渤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商所焦煤现价有11元</w:t>
      </w:r>
      <w:r>
        <w:rPr>
          <w:rFonts w:ascii="仿宋_GB2312" w:eastAsia="仿宋_GB2312" w:hAnsi="仿宋"/>
          <w:sz w:val="24"/>
          <w:szCs w:val="24"/>
        </w:rPr>
        <w:t>左右的</w:t>
      </w:r>
      <w:r w:rsidRPr="00FB79EE">
        <w:rPr>
          <w:rFonts w:ascii="仿宋_GB2312" w:eastAsia="仿宋_GB2312" w:hAnsi="仿宋" w:hint="eastAsia"/>
          <w:sz w:val="24"/>
          <w:szCs w:val="24"/>
        </w:rPr>
        <w:t>价差，投资者可寻找跨市套利机会。个人投资者顺势而为，及时止盈止损。</w:t>
      </w:r>
    </w:p>
    <w:p w:rsidR="00304C77" w:rsidRDefault="00304C77" w:rsidP="00304C77">
      <w:pPr>
        <w:pStyle w:val="2"/>
        <w:tabs>
          <w:tab w:val="left" w:pos="7088"/>
        </w:tabs>
        <w:spacing w:line="360" w:lineRule="auto"/>
        <w:ind w:firstLineChars="0" w:firstLine="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动力煤：小幅上涨</w:t>
      </w:r>
    </w:p>
    <w:p w:rsidR="00304C77" w:rsidRDefault="00304C77" w:rsidP="00304C77">
      <w:pPr>
        <w:pStyle w:val="2"/>
        <w:tabs>
          <w:tab w:val="left" w:pos="7088"/>
        </w:tabs>
        <w:spacing w:line="360" w:lineRule="auto"/>
        <w:ind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本周动力煤价格小幅上涨。周五渤海商品交易所动力煤收于495元/吨，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较与上周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价格上涨9元/吨，交易量增加，订货量小幅减少。</w:t>
      </w:r>
    </w:p>
    <w:p w:rsidR="00304C77" w:rsidRDefault="00304C77" w:rsidP="00304C77">
      <w:pPr>
        <w:pStyle w:val="2"/>
        <w:tabs>
          <w:tab w:val="left" w:pos="7088"/>
        </w:tabs>
        <w:spacing w:line="360" w:lineRule="auto"/>
        <w:ind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lastRenderedPageBreak/>
        <w:t> </w:t>
      </w:r>
      <w:r>
        <w:rPr>
          <w:rFonts w:ascii="仿宋_GB2312" w:eastAsia="仿宋_GB2312" w:hAnsi="仿宋" w:hint="eastAsia"/>
          <w:sz w:val="24"/>
          <w:szCs w:val="24"/>
        </w:rPr>
        <w:t>本周秦皇岛海运煤炭交易市场发布的环渤海动力</w:t>
      </w:r>
      <w:hyperlink r:id="rId8" w:tgtFrame="http://news.cqcoal.com/a/xinwenzixun/meishizhouping/2014/1226/_blank" w:history="1">
        <w:r>
          <w:rPr>
            <w:rFonts w:ascii="仿宋_GB2312" w:eastAsia="仿宋_GB2312" w:hAnsi="仿宋" w:hint="eastAsia"/>
            <w:sz w:val="24"/>
            <w:szCs w:val="24"/>
          </w:rPr>
          <w:t>煤价格</w:t>
        </w:r>
      </w:hyperlink>
      <w:r>
        <w:rPr>
          <w:rFonts w:ascii="仿宋_GB2312" w:eastAsia="仿宋_GB2312" w:hAnsi="仿宋" w:hint="eastAsia"/>
          <w:sz w:val="24"/>
          <w:szCs w:val="24"/>
        </w:rPr>
        <w:t>指数报收于525元/吨，本报告期（12月17日至12月23日）比前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一报告期下降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了1元/吨。这进一步验证了前期关于价格走势的判断，煤价开始向基本面回归，这也是该价格指数16周来首度反跌，价格走势形态调整初步完成。受大户支撑，秦皇岛港各动力煤品种价格持平。秦皇岛4500大卡热量动力煤价格为415-425元/吨；5000大卡发热量动力煤价格为450-460元/吨；5500大卡发热量动力煤价格为520-530元/吨；5800大卡发热量动力煤价格为555-565元/吨。本周秦皇岛港各煤炭规格品价格全线走稳，价格上攻动力已经当然无存，当前价格水平紧靠大型企业勉力支撑。</w:t>
      </w:r>
    </w:p>
    <w:p w:rsidR="00304C77" w:rsidRDefault="00304C77" w:rsidP="00304C77">
      <w:pPr>
        <w:pStyle w:val="2"/>
        <w:tabs>
          <w:tab w:val="left" w:pos="7088"/>
        </w:tabs>
        <w:spacing w:line="360" w:lineRule="auto"/>
        <w:ind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本期</w:t>
      </w:r>
      <w:hyperlink r:id="rId9" w:tgtFrame="http://news.cqcoal.com/a/xinwenzixun/meishizhouping/2014/1226/_blank" w:history="1">
        <w:r>
          <w:rPr>
            <w:rFonts w:ascii="仿宋_GB2312" w:eastAsia="仿宋_GB2312" w:hAnsi="仿宋" w:hint="eastAsia"/>
            <w:sz w:val="24"/>
            <w:szCs w:val="24"/>
          </w:rPr>
          <w:t>环渤海动力煤价格指数</w:t>
        </w:r>
      </w:hyperlink>
      <w:r>
        <w:rPr>
          <w:rFonts w:ascii="仿宋_GB2312" w:eastAsia="仿宋_GB2312" w:hAnsi="仿宋" w:hint="eastAsia"/>
          <w:sz w:val="24"/>
          <w:szCs w:val="24"/>
        </w:rPr>
        <w:t>的运行结果表明：本期，价格持平和上涨的规格品数量迅速减少，而价格下降的港口规格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品迅速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 xml:space="preserve">增加并接近半数，表明该地区动力煤交易价格整体呈现稳中趋降态势；价格指数结束了9月3日至12月17日连续14个报告期的整体回升，近16周来再度下行；从9月3日至12月17日，价格指数累计上涨了48元/吨，累计涨幅为10.0%。  </w:t>
      </w:r>
    </w:p>
    <w:p w:rsidR="00304C77" w:rsidRDefault="00304C77" w:rsidP="00304C77">
      <w:pPr>
        <w:pStyle w:val="2"/>
        <w:tabs>
          <w:tab w:val="left" w:pos="7088"/>
        </w:tabs>
        <w:spacing w:line="360" w:lineRule="auto"/>
        <w:ind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分析认为：此前提到的大企业停止拉价、消费企业采购积极性不高、海上</w:t>
      </w:r>
      <w:hyperlink r:id="rId10" w:tgtFrame="http://news.cqcoal.com/a/xinwenzixun/meishizhouping/2014/1226/_blank" w:history="1">
        <w:r>
          <w:rPr>
            <w:rFonts w:ascii="仿宋_GB2312" w:eastAsia="仿宋_GB2312" w:hAnsi="仿宋" w:hint="eastAsia"/>
            <w:sz w:val="24"/>
            <w:szCs w:val="24"/>
          </w:rPr>
          <w:t>运价</w:t>
        </w:r>
      </w:hyperlink>
      <w:r>
        <w:rPr>
          <w:rFonts w:ascii="仿宋_GB2312" w:eastAsia="仿宋_GB2312" w:hAnsi="仿宋" w:hint="eastAsia"/>
          <w:sz w:val="24"/>
          <w:szCs w:val="24"/>
        </w:rPr>
        <w:t>持续下行、港口存煤不断升高等负面因素，加之动力煤期货市场TC1501主力合约近期的深度下挫对现货市场的警示和冲击，以及对未来动力煤市场信心不足导致的恐慌性抛售，打破了大型煤炭企业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艰难维护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的环渤海市场动力煤供求关系的相对平衡，促使本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报告期环渤海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地区动力煤价格指数出现下行。中小市场户是本周降价的主力军，距离新年度仅剩1周，大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型煤企年后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价格策略变数空前增大，这给中小市场户带来了三方面的压力：1、与其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他港相比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，小户集中的京唐港煤炭物流压力更大，近2个月其库存呈现单边上涨态势，累计涨幅超过120万吨，物流压力致使中小散户转向促销求生；2、临近年末，中小市场户面临的回款压力更大，清理库存、促进回款成为理性选择；3、大型煤炭企业节后继续拉涨煤价缺乏支撑，目前很难排除节后降价的可能，中小户持仓过节将面临极大的不确定性，抢先出货有助于锁定收入，防范风险。</w:t>
      </w:r>
    </w:p>
    <w:p w:rsidR="00304C77" w:rsidRDefault="00304C77" w:rsidP="00304C77">
      <w:pPr>
        <w:pStyle w:val="2"/>
        <w:tabs>
          <w:tab w:val="left" w:pos="7088"/>
        </w:tabs>
        <w:spacing w:line="360" w:lineRule="auto"/>
        <w:ind w:firstLineChars="0" w:firstLine="0"/>
        <w:rPr>
          <w:rFonts w:ascii="仿宋_GB2312" w:eastAsia="仿宋_GB2312" w:hAnsi="仿宋"/>
          <w:color w:val="000000"/>
        </w:rPr>
      </w:pPr>
    </w:p>
    <w:p w:rsidR="00304C77" w:rsidRPr="00727B5A" w:rsidRDefault="00304C77" w:rsidP="00304C77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</w:p>
    <w:p w:rsidR="00961973" w:rsidRDefault="00D945F3">
      <w:pPr>
        <w:widowControl/>
        <w:jc w:val="left"/>
        <w:rPr>
          <w:rFonts w:hAnsi="仿宋_GB2312"/>
          <w:b/>
          <w:bCs/>
          <w:sz w:val="36"/>
          <w:szCs w:val="36"/>
        </w:rPr>
      </w:pPr>
      <w:r>
        <w:rPr>
          <w:rFonts w:hAnsi="仿宋_GB2312"/>
          <w:b/>
          <w:bCs/>
          <w:sz w:val="36"/>
          <w:szCs w:val="36"/>
        </w:rPr>
        <w:br w:type="page"/>
      </w:r>
      <w:r>
        <w:rPr>
          <w:rFonts w:hAnsi="仿宋_GB2312"/>
          <w:b/>
          <w:bCs/>
          <w:sz w:val="36"/>
          <w:szCs w:val="36"/>
        </w:rPr>
        <w:lastRenderedPageBreak/>
        <w:t>【农林产品板块】</w:t>
      </w:r>
    </w:p>
    <w:p w:rsidR="00D106A7" w:rsidRDefault="00D106A7" w:rsidP="00D106A7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黑木耳:小幅下跌</w:t>
      </w:r>
    </w:p>
    <w:p w:rsidR="00D106A7" w:rsidRDefault="00D106A7" w:rsidP="00D106A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周渤商所黑木耳价格小幅下跌，截止周五渤海商品交易所黑木耳尾盘收于55.45元/公斤，较上周下跌1.27元/公斤。本周黑木耳交收申报情况如下，买方申报交收5360公斤,卖方申报交收6148985公斤，交收配对成功5360公斤，成交量9799120公斤，成交金额545372852元，订货量38136480公斤。</w:t>
      </w:r>
    </w:p>
    <w:p w:rsidR="00D106A7" w:rsidRDefault="00D106A7" w:rsidP="00D106A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本周传统市场上黑木耳价格稳定，黑木耳走货量略有减少。进入11月份，南方主产区昼夜温差变大，气温逐渐降低，气候条件已符合黑木耳的生长，浙江龙泉等地已开始陆</w:t>
      </w:r>
      <w:proofErr w:type="gramStart"/>
      <w:r>
        <w:rPr>
          <w:rFonts w:ascii="仿宋_GB2312" w:eastAsia="仿宋_GB2312" w:hint="eastAsia"/>
          <w:sz w:val="24"/>
          <w:szCs w:val="24"/>
        </w:rPr>
        <w:t>陆续</w:t>
      </w:r>
      <w:proofErr w:type="gramEnd"/>
      <w:r>
        <w:rPr>
          <w:rFonts w:ascii="仿宋_GB2312" w:eastAsia="仿宋_GB2312" w:hint="eastAsia"/>
          <w:sz w:val="24"/>
          <w:szCs w:val="24"/>
        </w:rPr>
        <w:t>续出耳，已有少量新木耳上市。北方主产区近期气温大幅下降，偏远地区雨雪天气，黑木耳采收已经进入尾季，采收量大幅减少，预计11月底将结束黑木耳采收。传统市场上，南方市场随着新木耳上市，市场人流量略有提升，由于前期库存较多，贸易商短时间内还没有大量采购的计划，买卖双方了解市场行情为主，市场活跃度不高。北方市场目前库存销售为主，由于今年黑木耳整体采收量较大，加之去年库存木耳积压，市场上黑木耳货源充沛，而前去采购的贸易商和企业较去年同时期减少，市场走货缓慢，市场库存积压严重，短时间内难以清空库存。深加工和零售终端市场方面：近几年黑木耳深加工产业发展迅速，黑木耳深加工产品不断更新，不仅有罐头类、开袋即食产品，还有木耳饮料、木耳饼干等新产品出现，深受消费者青睐。同时进入冬季，火锅生意开始火爆，黑木耳市场需求量略有提升。</w:t>
      </w:r>
    </w:p>
    <w:p w:rsidR="00D106A7" w:rsidRDefault="00D106A7" w:rsidP="00D106A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相关资讯：黑木耳营养、美味，深受消费者的喜爱，有着广阔的市场空间。近年来，浙江龙泉市因地制宜，带动农户积极发展黑木耳种植。眼下，随着龙泉市黑木耳首个采摘高峰期的来临，当地的菇农们都趁着晴好天气抓紧时间采摘黑木耳，迎接丰收。</w:t>
      </w:r>
    </w:p>
    <w:p w:rsidR="00D106A7" w:rsidRDefault="00D106A7" w:rsidP="00D106A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渤</w:t>
      </w:r>
      <w:proofErr w:type="gramEnd"/>
      <w:r>
        <w:rPr>
          <w:rFonts w:ascii="仿宋_GB2312" w:eastAsia="仿宋_GB2312" w:hint="eastAsia"/>
          <w:sz w:val="24"/>
          <w:szCs w:val="24"/>
        </w:rPr>
        <w:t>商所黑木耳价格本周小幅下跌，建议交易</w:t>
      </w:r>
      <w:proofErr w:type="gramStart"/>
      <w:r>
        <w:rPr>
          <w:rFonts w:ascii="仿宋_GB2312" w:eastAsia="仿宋_GB2312" w:hint="eastAsia"/>
          <w:sz w:val="24"/>
          <w:szCs w:val="24"/>
        </w:rPr>
        <w:t>商密切</w:t>
      </w:r>
      <w:proofErr w:type="gramEnd"/>
      <w:r>
        <w:rPr>
          <w:rFonts w:ascii="仿宋_GB2312" w:eastAsia="仿宋_GB2312" w:hint="eastAsia"/>
          <w:sz w:val="24"/>
          <w:szCs w:val="24"/>
        </w:rPr>
        <w:t>关注国内黑木耳相关信息，比较价格差距，提前订立合同，锁定商品价格。</w:t>
      </w:r>
    </w:p>
    <w:p w:rsidR="00D106A7" w:rsidRDefault="00D106A7" w:rsidP="00D106A7">
      <w:pPr>
        <w:spacing w:line="360" w:lineRule="auto"/>
        <w:rPr>
          <w:rFonts w:ascii="仿宋_GB2312" w:eastAsia="仿宋_GB2312"/>
          <w:b/>
          <w:sz w:val="24"/>
          <w:szCs w:val="22"/>
        </w:rPr>
      </w:pPr>
      <w:r>
        <w:rPr>
          <w:rFonts w:ascii="仿宋_GB2312" w:eastAsia="仿宋_GB2312" w:hint="eastAsia"/>
          <w:b/>
          <w:sz w:val="24"/>
        </w:rPr>
        <w:t>香菇：小幅下跌</w:t>
      </w:r>
    </w:p>
    <w:p w:rsidR="00D106A7" w:rsidRDefault="00D106A7" w:rsidP="00D106A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周渤商所香菇价格小幅下跌，周五渤海商品交易所香菇尾盘收于99.15元/公斤，较上周下跌1.57元/公斤。截至周五本周香菇交收申报情况如下，买方申报交收586320公斤，卖方申报交收20800公斤，交收配对成功13305公斤。</w:t>
      </w:r>
      <w:r>
        <w:rPr>
          <w:rFonts w:ascii="仿宋_GB2312" w:eastAsia="仿宋_GB2312" w:hint="eastAsia"/>
          <w:sz w:val="24"/>
          <w:szCs w:val="24"/>
        </w:rPr>
        <w:lastRenderedPageBreak/>
        <w:t>成交量13425040公斤，成交金额1332375392元，订货量20963840公斤。</w:t>
      </w:r>
    </w:p>
    <w:p w:rsidR="00D106A7" w:rsidRDefault="00D106A7" w:rsidP="00D106A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本周传统市场上香菇价格稳定，进入11月份，香菇主产区气温逐渐降低，纷纷进入香菇出菇季节。本周气温较上周有明显下降，昼夜温差大，适合中低温香菇的生长，香菇主产区</w:t>
      </w:r>
      <w:proofErr w:type="gramStart"/>
      <w:r>
        <w:rPr>
          <w:rFonts w:ascii="仿宋_GB2312" w:eastAsia="仿宋_GB2312" w:hint="eastAsia"/>
          <w:sz w:val="24"/>
          <w:szCs w:val="24"/>
        </w:rPr>
        <w:t>出菇量较</w:t>
      </w:r>
      <w:proofErr w:type="gramEnd"/>
      <w:r>
        <w:rPr>
          <w:rFonts w:ascii="仿宋_GB2312" w:eastAsia="仿宋_GB2312" w:hint="eastAsia"/>
          <w:sz w:val="24"/>
          <w:szCs w:val="24"/>
        </w:rPr>
        <w:t>上周大幅提升，菇农忙的不亦乐乎。传统市场上本周新</w:t>
      </w:r>
      <w:proofErr w:type="gramStart"/>
      <w:r>
        <w:rPr>
          <w:rFonts w:ascii="仿宋_GB2312" w:eastAsia="仿宋_GB2312" w:hint="eastAsia"/>
          <w:sz w:val="24"/>
          <w:szCs w:val="24"/>
        </w:rPr>
        <w:t>菇上市</w:t>
      </w:r>
      <w:proofErr w:type="gramEnd"/>
      <w:r>
        <w:rPr>
          <w:rFonts w:ascii="仿宋_GB2312" w:eastAsia="仿宋_GB2312" w:hint="eastAsia"/>
          <w:sz w:val="24"/>
          <w:szCs w:val="24"/>
        </w:rPr>
        <w:t>较上周多，由于前期香菇货源紧张，库存几乎为零，贸易商和销售企业急于囤货，大量采购。市场活跃度明显提升，香菇走货量加快，无论菇农还是贸易企业效益都极好。鲜品市场方面：随着近几年香菇栽培技术和保鲜技术的提升，适合鲜菇销售的品种较多，同时鲜品出口量明显提升，近期是鲜菇采收旺季，无论国内市场还是国际市场，鲜品需求量大，鲜品走货量较大。深加工产品和零售终端市场方面：随着加工技术的提升和消费者消费需求的多样化，近年来香菇深加工产品层出不穷，香菇酱、香菇料包、香菇饺子等开袋即食香菇深加工产品呈现多样化，从而带动香菇销量的提升。零售终端市场方面，近期火锅生意开始火爆，无论鲜品香菇还是干品香菇都深受欢迎，市场需求量小幅提升。</w:t>
      </w:r>
    </w:p>
    <w:p w:rsidR="00D106A7" w:rsidRDefault="00D106A7" w:rsidP="00D106A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相关资讯：近段时间，湖北丹江口市官山镇五龙庄村的菇农们正忙着为香菇脱袋。据了解，该地区的香菇一个星期后就可以与广大消费者见面了。有位菇农介绍说，今年香菇价格不错，每斤40—60元，他种植香菇20000多袋，预计收入20多万元。据了解，官山镇近年来依托本地丰富林木资源，积极调整产业结构，大力发展食用菌产业，有效增加了农民收入。</w:t>
      </w:r>
    </w:p>
    <w:p w:rsidR="00D106A7" w:rsidRDefault="00D106A7" w:rsidP="00D106A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渤</w:t>
      </w:r>
      <w:proofErr w:type="gramEnd"/>
      <w:r>
        <w:rPr>
          <w:rFonts w:ascii="仿宋_GB2312" w:eastAsia="仿宋_GB2312" w:hint="eastAsia"/>
          <w:sz w:val="24"/>
          <w:szCs w:val="24"/>
        </w:rPr>
        <w:t>商所香菇价格小幅下跌，建议交易</w:t>
      </w:r>
      <w:proofErr w:type="gramStart"/>
      <w:r>
        <w:rPr>
          <w:rFonts w:ascii="仿宋_GB2312" w:eastAsia="仿宋_GB2312" w:hint="eastAsia"/>
          <w:sz w:val="24"/>
          <w:szCs w:val="24"/>
        </w:rPr>
        <w:t>商密切</w:t>
      </w:r>
      <w:proofErr w:type="gramEnd"/>
      <w:r>
        <w:rPr>
          <w:rFonts w:ascii="仿宋_GB2312" w:eastAsia="仿宋_GB2312" w:hint="eastAsia"/>
          <w:sz w:val="24"/>
          <w:szCs w:val="24"/>
        </w:rPr>
        <w:t>关注国内香菇相关信息，根据实际需求，提前订立合同，锁定商品价格。</w:t>
      </w:r>
    </w:p>
    <w:p w:rsidR="005778B4" w:rsidRDefault="00D945F3" w:rsidP="005778B4">
      <w:pPr>
        <w:spacing w:beforeLines="100" w:before="312" w:line="360" w:lineRule="auto"/>
        <w:outlineLvl w:val="0"/>
        <w:rPr>
          <w:rFonts w:hAnsi="仿宋_GB2312"/>
          <w:b/>
          <w:bCs/>
          <w:sz w:val="36"/>
          <w:szCs w:val="36"/>
        </w:rPr>
      </w:pPr>
      <w:r>
        <w:rPr>
          <w:rFonts w:hAnsi="仿宋_GB2312"/>
          <w:b/>
          <w:bCs/>
          <w:sz w:val="36"/>
          <w:szCs w:val="36"/>
        </w:rPr>
        <w:br w:type="page"/>
      </w:r>
      <w:r w:rsidR="005778B4">
        <w:rPr>
          <w:rFonts w:hAnsi="仿宋_GB2312" w:hint="eastAsia"/>
          <w:b/>
          <w:bCs/>
          <w:sz w:val="36"/>
          <w:szCs w:val="36"/>
        </w:rPr>
        <w:lastRenderedPageBreak/>
        <w:t>【石油化工板块】</w:t>
      </w:r>
    </w:p>
    <w:p w:rsidR="005778B4" w:rsidRDefault="005778B4" w:rsidP="005778B4">
      <w:pPr>
        <w:spacing w:beforeLines="50" w:before="156" w:line="360" w:lineRule="auto"/>
        <w:jc w:val="center"/>
        <w:rPr>
          <w:rFonts w:ascii="仿宋_GB2312" w:eastAsia="仿宋_GB2312"/>
          <w:b/>
          <w:sz w:val="28"/>
          <w:szCs w:val="24"/>
        </w:rPr>
      </w:pPr>
      <w:r>
        <w:rPr>
          <w:rFonts w:ascii="仿宋_GB2312" w:eastAsia="仿宋_GB2312" w:hint="eastAsia"/>
          <w:b/>
          <w:sz w:val="28"/>
          <w:szCs w:val="24"/>
        </w:rPr>
        <w:t>PVC（山东）&amp;PVC（华东）</w:t>
      </w:r>
    </w:p>
    <w:p w:rsidR="005778B4" w:rsidRDefault="005778B4" w:rsidP="005778B4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渤</w:t>
      </w:r>
      <w:proofErr w:type="gramEnd"/>
      <w:r>
        <w:rPr>
          <w:rFonts w:ascii="仿宋_GB2312" w:eastAsia="仿宋_GB2312" w:hint="eastAsia"/>
          <w:sz w:val="24"/>
          <w:szCs w:val="24"/>
        </w:rPr>
        <w:t>商所PVC（山东）本周开盘价5764元/吨、</w:t>
      </w:r>
      <w:proofErr w:type="gramStart"/>
      <w:r>
        <w:rPr>
          <w:rFonts w:ascii="仿宋_GB2312" w:eastAsia="仿宋_GB2312" w:hint="eastAsia"/>
          <w:sz w:val="24"/>
          <w:szCs w:val="24"/>
        </w:rPr>
        <w:t>最</w:t>
      </w:r>
      <w:proofErr w:type="gramEnd"/>
      <w:r>
        <w:rPr>
          <w:rFonts w:ascii="仿宋_GB2312" w:eastAsia="仿宋_GB2312" w:hint="eastAsia"/>
          <w:sz w:val="24"/>
          <w:szCs w:val="24"/>
        </w:rPr>
        <w:t>高价5776元/吨、最低价5700元/吨、收盘价5706元/吨、均价5729元/吨。</w:t>
      </w:r>
    </w:p>
    <w:p w:rsidR="005778B4" w:rsidRDefault="005778B4" w:rsidP="005778B4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渤</w:t>
      </w:r>
      <w:proofErr w:type="gramEnd"/>
      <w:r>
        <w:rPr>
          <w:rFonts w:ascii="仿宋_GB2312" w:eastAsia="仿宋_GB2312" w:hint="eastAsia"/>
          <w:sz w:val="24"/>
          <w:szCs w:val="24"/>
        </w:rPr>
        <w:t>商所PVC（华东）本周横盘整理。</w:t>
      </w:r>
    </w:p>
    <w:p w:rsidR="005778B4" w:rsidRDefault="005778B4" w:rsidP="005778B4">
      <w:pPr>
        <w:spacing w:line="360" w:lineRule="auto"/>
        <w:ind w:firstLineChars="200" w:firstLine="482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原料电石：</w:t>
      </w:r>
      <w:r>
        <w:rPr>
          <w:rFonts w:ascii="仿宋_GB2312" w:eastAsia="仿宋_GB2312" w:hint="eastAsia"/>
          <w:sz w:val="24"/>
          <w:szCs w:val="24"/>
        </w:rPr>
        <w:t>本周电石市场供应平稳，下游需求情况尚可，市场交投积极性尚可，市场行情盘整；</w:t>
      </w:r>
    </w:p>
    <w:p w:rsidR="005778B4" w:rsidRDefault="005778B4" w:rsidP="005778B4">
      <w:pPr>
        <w:spacing w:line="360" w:lineRule="auto"/>
        <w:ind w:firstLineChars="200" w:firstLine="482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PVC现货市场：价格坚挺，整体稳定。</w:t>
      </w:r>
      <w:r>
        <w:rPr>
          <w:rFonts w:ascii="仿宋_GB2312" w:eastAsia="仿宋_GB2312" w:hint="eastAsia"/>
          <w:sz w:val="24"/>
          <w:szCs w:val="24"/>
        </w:rPr>
        <w:t xml:space="preserve">本周现货PVC市场价格平稳，商家大都随行就市，下游厂家需求萎靡，观望情绪浓厚，交投不振。 </w:t>
      </w:r>
    </w:p>
    <w:p w:rsidR="005778B4" w:rsidRDefault="005778B4" w:rsidP="005778B4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本周渤商所PVC(山东)价格维持平稳，PVC（华东）横盘整理，盘面价格与山东主流市场价格低10元/吨左右，商家可在目前国内PVC产能严重过剩的情况下，在</w:t>
      </w:r>
      <w:proofErr w:type="gramStart"/>
      <w:r>
        <w:rPr>
          <w:rFonts w:ascii="仿宋_GB2312" w:eastAsia="仿宋_GB2312" w:hint="eastAsia"/>
          <w:sz w:val="24"/>
          <w:szCs w:val="24"/>
        </w:rPr>
        <w:t>渤</w:t>
      </w:r>
      <w:proofErr w:type="gramEnd"/>
      <w:r>
        <w:rPr>
          <w:rFonts w:ascii="仿宋_GB2312" w:eastAsia="仿宋_GB2312" w:hint="eastAsia"/>
          <w:sz w:val="24"/>
          <w:szCs w:val="24"/>
        </w:rPr>
        <w:t>商所订立买入合同，降低成本。</w:t>
      </w:r>
    </w:p>
    <w:p w:rsidR="005778B4" w:rsidRDefault="005778B4" w:rsidP="005778B4">
      <w:pPr>
        <w:spacing w:beforeLines="50" w:before="156" w:line="360" w:lineRule="auto"/>
        <w:jc w:val="center"/>
        <w:rPr>
          <w:rFonts w:ascii="仿宋_GB2312" w:eastAsia="仿宋_GB2312" w:hint="eastAsia"/>
          <w:b/>
          <w:sz w:val="28"/>
          <w:szCs w:val="24"/>
        </w:rPr>
      </w:pPr>
      <w:r>
        <w:rPr>
          <w:rFonts w:ascii="仿宋_GB2312" w:eastAsia="仿宋_GB2312" w:hint="eastAsia"/>
          <w:b/>
          <w:sz w:val="28"/>
          <w:szCs w:val="24"/>
        </w:rPr>
        <w:t>聚丙烯拉丝级（中轻）</w:t>
      </w:r>
    </w:p>
    <w:p w:rsidR="005778B4" w:rsidRDefault="005778B4" w:rsidP="005778B4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渤</w:t>
      </w:r>
      <w:proofErr w:type="gramEnd"/>
      <w:r>
        <w:rPr>
          <w:rFonts w:ascii="仿宋_GB2312" w:eastAsia="仿宋_GB2312" w:hint="eastAsia"/>
          <w:sz w:val="24"/>
          <w:szCs w:val="24"/>
        </w:rPr>
        <w:t>商所聚丙烯拉丝级（中轻）本周开盘价7590元/吨、</w:t>
      </w:r>
      <w:proofErr w:type="gramStart"/>
      <w:r>
        <w:rPr>
          <w:rFonts w:ascii="仿宋_GB2312" w:eastAsia="仿宋_GB2312" w:hint="eastAsia"/>
          <w:sz w:val="24"/>
          <w:szCs w:val="24"/>
        </w:rPr>
        <w:t>最</w:t>
      </w:r>
      <w:proofErr w:type="gramEnd"/>
      <w:r>
        <w:rPr>
          <w:rFonts w:ascii="仿宋_GB2312" w:eastAsia="仿宋_GB2312" w:hint="eastAsia"/>
          <w:sz w:val="24"/>
          <w:szCs w:val="24"/>
        </w:rPr>
        <w:t>高价7750元/吨、最低价7300元/吨、收盘价7542元/吨、均价7599元/吨。</w:t>
      </w:r>
    </w:p>
    <w:p w:rsidR="005778B4" w:rsidRDefault="005778B4" w:rsidP="005778B4">
      <w:pPr>
        <w:spacing w:line="360" w:lineRule="auto"/>
        <w:ind w:firstLineChars="200" w:firstLine="482"/>
        <w:rPr>
          <w:rFonts w:hint="eastAsia"/>
          <w:color w:val="000000"/>
          <w:szCs w:val="21"/>
          <w:shd w:val="clear" w:color="auto" w:fill="F9FCFE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上游原料; </w:t>
      </w:r>
      <w:r>
        <w:rPr>
          <w:rFonts w:ascii="仿宋_GB2312" w:eastAsia="仿宋_GB2312" w:hint="eastAsia"/>
          <w:sz w:val="24"/>
          <w:szCs w:val="24"/>
        </w:rPr>
        <w:t>截至12月24日当日收盘时，原油期货价格下跌，纽约商交易所（NYMEX）2月交割的WTI轻质低硫原油期货结算价下跌1.28美元，至每桶55.84美元，跌幅2.2%。伦敦洲际交易所（ICE）2月交割的全球基准布伦特原油期货结算价下跌1.45美元，至每桶60.24美元，跌幅2.5%。</w:t>
      </w:r>
    </w:p>
    <w:p w:rsidR="005778B4" w:rsidRDefault="005778B4" w:rsidP="005778B4">
      <w:pPr>
        <w:spacing w:line="360" w:lineRule="auto"/>
        <w:ind w:firstLineChars="200" w:firstLine="48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聚丙烯现货市场： PP价格震荡上涨。</w:t>
      </w:r>
      <w:r>
        <w:rPr>
          <w:rFonts w:ascii="仿宋_GB2312" w:eastAsia="仿宋_GB2312" w:hint="eastAsia"/>
          <w:sz w:val="24"/>
          <w:szCs w:val="24"/>
        </w:rPr>
        <w:t>本周华东地区报价先扬后抑，较上周普遍上涨，下游企业按需采购为主，观望后市，市场成交情况一般。截至周五，华东地区市场价在9198元/吨。</w:t>
      </w:r>
    </w:p>
    <w:p w:rsidR="005778B4" w:rsidRDefault="005778B4" w:rsidP="005778B4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周渤商所PP价格小幅上涨；盘面价格低于华东现货市场价格150-400元/吨左右，生产企业可选择在渤商所订立买入合同，或随采随用；也可在目前国内PP产能严重过剩的情况下，在渤商所订立卖出合同，增加销售渠道。</w:t>
      </w:r>
      <w:bookmarkStart w:id="0" w:name="_GoBack"/>
      <w:bookmarkEnd w:id="0"/>
    </w:p>
    <w:p w:rsidR="003308B2" w:rsidRDefault="003308B2" w:rsidP="003308B2">
      <w:pPr>
        <w:spacing w:beforeLines="100" w:before="312" w:line="360" w:lineRule="auto"/>
        <w:outlineLvl w:val="0"/>
        <w:rPr>
          <w:rFonts w:ascii="宋体" w:hAnsi="宋体" w:cs="宋体"/>
          <w:b/>
          <w:kern w:val="0"/>
          <w:sz w:val="24"/>
          <w:szCs w:val="24"/>
        </w:rPr>
      </w:pPr>
    </w:p>
    <w:p w:rsidR="003308B2" w:rsidRPr="003308B2" w:rsidRDefault="003308B2" w:rsidP="003308B2">
      <w:pPr>
        <w:spacing w:beforeLines="100" w:before="312" w:line="360" w:lineRule="auto"/>
        <w:outlineLvl w:val="0"/>
        <w:rPr>
          <w:rFonts w:ascii="宋体" w:hAnsi="宋体" w:cs="宋体"/>
          <w:b/>
          <w:kern w:val="0"/>
          <w:sz w:val="24"/>
          <w:szCs w:val="24"/>
        </w:rPr>
      </w:pPr>
    </w:p>
    <w:p w:rsidR="00961973" w:rsidRDefault="00D945F3">
      <w:pPr>
        <w:widowControl/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免责声明：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买卖出价，投资者据此做出的任何投资决策与本公司和作者无关。</w:t>
      </w:r>
    </w:p>
    <w:p w:rsidR="00961973" w:rsidRDefault="00961973"/>
    <w:sectPr w:rsidR="00961973">
      <w:headerReference w:type="defaul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A0" w:rsidRDefault="00A421A0">
      <w:r>
        <w:separator/>
      </w:r>
    </w:p>
  </w:endnote>
  <w:endnote w:type="continuationSeparator" w:id="0">
    <w:p w:rsidR="00A421A0" w:rsidRDefault="00A4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A0" w:rsidRDefault="00A421A0">
      <w:r>
        <w:separator/>
      </w:r>
    </w:p>
  </w:footnote>
  <w:footnote w:type="continuationSeparator" w:id="0">
    <w:p w:rsidR="00A421A0" w:rsidRDefault="00A4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73" w:rsidRDefault="009619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973"/>
    <w:rsid w:val="00010147"/>
    <w:rsid w:val="000E6BC4"/>
    <w:rsid w:val="0015746D"/>
    <w:rsid w:val="001A2326"/>
    <w:rsid w:val="001F7851"/>
    <w:rsid w:val="00210D3B"/>
    <w:rsid w:val="002B0D27"/>
    <w:rsid w:val="002B3A1E"/>
    <w:rsid w:val="002D4565"/>
    <w:rsid w:val="00304C77"/>
    <w:rsid w:val="003308B2"/>
    <w:rsid w:val="003C3878"/>
    <w:rsid w:val="003D0ACE"/>
    <w:rsid w:val="004243BA"/>
    <w:rsid w:val="00501EE3"/>
    <w:rsid w:val="0052743C"/>
    <w:rsid w:val="005749A9"/>
    <w:rsid w:val="005778B4"/>
    <w:rsid w:val="00685356"/>
    <w:rsid w:val="00696459"/>
    <w:rsid w:val="006E7402"/>
    <w:rsid w:val="0078714E"/>
    <w:rsid w:val="00791A0C"/>
    <w:rsid w:val="007C7048"/>
    <w:rsid w:val="007C7074"/>
    <w:rsid w:val="00802EDF"/>
    <w:rsid w:val="00914AF5"/>
    <w:rsid w:val="00961973"/>
    <w:rsid w:val="009D1C72"/>
    <w:rsid w:val="009D72C2"/>
    <w:rsid w:val="00A25483"/>
    <w:rsid w:val="00A421A0"/>
    <w:rsid w:val="00A97113"/>
    <w:rsid w:val="00AB0CA6"/>
    <w:rsid w:val="00BA0F07"/>
    <w:rsid w:val="00C059EA"/>
    <w:rsid w:val="00C52BAB"/>
    <w:rsid w:val="00C67919"/>
    <w:rsid w:val="00C871F7"/>
    <w:rsid w:val="00CE64A0"/>
    <w:rsid w:val="00D106A7"/>
    <w:rsid w:val="00D126B3"/>
    <w:rsid w:val="00D569E7"/>
    <w:rsid w:val="00D945F3"/>
    <w:rsid w:val="00DC0B2F"/>
    <w:rsid w:val="00DD3A73"/>
    <w:rsid w:val="00DE74E8"/>
    <w:rsid w:val="00E0562D"/>
    <w:rsid w:val="00F851BC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Hyperlink"/>
    <w:rPr>
      <w:rFonts w:ascii="ˎ̥" w:hAnsi="ˎ̥" w:hint="default"/>
      <w:color w:val="000000"/>
      <w:u w:val="none"/>
    </w:rPr>
  </w:style>
  <w:style w:type="paragraph" w:customStyle="1" w:styleId="11">
    <w:name w:val="列出段落11"/>
    <w:pPr>
      <w:ind w:firstLineChars="200" w:firstLine="420"/>
    </w:pPr>
    <w:rPr>
      <w:rFonts w:ascii="Calibri" w:hAnsi="Calibri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列出段落4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列出段落5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6">
    <w:name w:val="列出段落6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7">
    <w:name w:val="列出段落7"/>
    <w:basedOn w:val="a"/>
    <w:uiPriority w:val="99"/>
    <w:pPr>
      <w:ind w:firstLineChars="200" w:firstLine="420"/>
    </w:pPr>
    <w:rPr>
      <w:rFonts w:ascii="Calibri" w:hAnsi="Calibri"/>
      <w:szCs w:val="22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customStyle="1" w:styleId="8">
    <w:name w:val="列出段落8"/>
    <w:basedOn w:val="a"/>
    <w:uiPriority w:val="99"/>
    <w:rsid w:val="00F851BC"/>
    <w:pPr>
      <w:ind w:firstLineChars="200" w:firstLine="420"/>
    </w:pPr>
    <w:rPr>
      <w:rFonts w:ascii="Calibri" w:hAnsi="Calibri"/>
      <w:szCs w:val="22"/>
    </w:rPr>
  </w:style>
  <w:style w:type="paragraph" w:customStyle="1" w:styleId="9">
    <w:name w:val="列出段落9"/>
    <w:basedOn w:val="a"/>
    <w:uiPriority w:val="99"/>
    <w:rsid w:val="003D0ACE"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列出段落10"/>
    <w:basedOn w:val="a"/>
    <w:uiPriority w:val="99"/>
    <w:rsid w:val="00A97113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列出段落12"/>
    <w:basedOn w:val="a"/>
    <w:uiPriority w:val="99"/>
    <w:rsid w:val="00E0562D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qFormat/>
    <w:rsid w:val="00914AF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.org.cn/CoalIndex/chs/ne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sc.org.cn/IndexCenter/Shipping/c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c.org.cn/CoalIndex/chs/new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【煤炭能源板块】</dc:title>
  <dc:creator>user</dc:creator>
  <cp:lastModifiedBy>DELL</cp:lastModifiedBy>
  <cp:revision>25</cp:revision>
  <dcterms:created xsi:type="dcterms:W3CDTF">2014-06-27T09:27:00Z</dcterms:created>
  <dcterms:modified xsi:type="dcterms:W3CDTF">2014-12-26T09:37:00Z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