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73" w:rsidRDefault="00D945F3">
      <w:pPr>
        <w:pStyle w:val="10"/>
        <w:tabs>
          <w:tab w:val="left" w:pos="7088"/>
        </w:tabs>
        <w:spacing w:line="360" w:lineRule="auto"/>
        <w:ind w:firstLineChars="0" w:firstLine="0"/>
        <w:rPr>
          <w:rFonts w:ascii="仿宋_GB2312" w:eastAsia="仿宋_GB2312"/>
          <w:b/>
          <w:sz w:val="24"/>
        </w:rPr>
      </w:pPr>
      <w:r>
        <w:rPr>
          <w:rFonts w:hAnsi="仿宋_GB2312"/>
          <w:b/>
          <w:bCs/>
          <w:sz w:val="36"/>
          <w:szCs w:val="36"/>
        </w:rPr>
        <w:t>【</w:t>
      </w:r>
      <w:r>
        <w:rPr>
          <w:rFonts w:hAnsi="仿宋_GB2312" w:hint="eastAsia"/>
          <w:b/>
          <w:bCs/>
          <w:sz w:val="36"/>
          <w:szCs w:val="36"/>
        </w:rPr>
        <w:t>煤炭能源</w:t>
      </w:r>
      <w:r>
        <w:rPr>
          <w:rFonts w:hAnsi="仿宋_GB2312"/>
          <w:b/>
          <w:bCs/>
          <w:sz w:val="36"/>
          <w:szCs w:val="36"/>
        </w:rPr>
        <w:t>板块】</w:t>
      </w:r>
    </w:p>
    <w:p w:rsidR="007F3268" w:rsidRPr="001F2180" w:rsidRDefault="007F3268" w:rsidP="007F3268">
      <w:pPr>
        <w:tabs>
          <w:tab w:val="left" w:pos="7088"/>
        </w:tabs>
        <w:spacing w:line="360" w:lineRule="auto"/>
        <w:rPr>
          <w:rFonts w:ascii="仿宋_GB2312" w:eastAsia="仿宋_GB2312"/>
          <w:b/>
          <w:sz w:val="24"/>
        </w:rPr>
      </w:pPr>
      <w:r w:rsidRPr="001F2180">
        <w:rPr>
          <w:rFonts w:ascii="仿宋_GB2312" w:eastAsia="仿宋_GB2312" w:hint="eastAsia"/>
          <w:b/>
          <w:sz w:val="24"/>
        </w:rPr>
        <w:t>动力煤：小幅上涨</w:t>
      </w:r>
    </w:p>
    <w:p w:rsidR="007F3268" w:rsidRPr="001F2180" w:rsidRDefault="007F3268" w:rsidP="007F3268">
      <w:pPr>
        <w:tabs>
          <w:tab w:val="left" w:pos="7088"/>
        </w:tabs>
        <w:spacing w:line="360" w:lineRule="auto"/>
        <w:ind w:firstLineChars="200" w:firstLine="480"/>
        <w:rPr>
          <w:rFonts w:ascii="仿宋_GB2312" w:eastAsia="仿宋_GB2312" w:hAnsi="仿宋" w:hint="eastAsia"/>
          <w:sz w:val="24"/>
          <w:szCs w:val="24"/>
        </w:rPr>
      </w:pPr>
      <w:r w:rsidRPr="001F2180">
        <w:rPr>
          <w:rFonts w:ascii="仿宋_GB2312" w:eastAsia="仿宋_GB2312" w:hAnsi="仿宋" w:hint="eastAsia"/>
          <w:sz w:val="24"/>
          <w:szCs w:val="24"/>
        </w:rPr>
        <w:t>本周环渤海动力</w:t>
      </w:r>
      <w:hyperlink r:id="rId8" w:tgtFrame="http://news.cqcoal.com/a/xinwenzixun/meishizhouping/2015/0109/_blank" w:history="1">
        <w:r w:rsidRPr="001F2180">
          <w:rPr>
            <w:rFonts w:ascii="仿宋_GB2312" w:eastAsia="仿宋_GB2312" w:hAnsi="仿宋" w:hint="eastAsia"/>
            <w:sz w:val="24"/>
            <w:szCs w:val="24"/>
          </w:rPr>
          <w:t>煤价格</w:t>
        </w:r>
      </w:hyperlink>
      <w:r w:rsidRPr="001F2180">
        <w:rPr>
          <w:rFonts w:ascii="仿宋_GB2312" w:eastAsia="仿宋_GB2312" w:hAnsi="仿宋" w:hint="eastAsia"/>
          <w:sz w:val="24"/>
          <w:szCs w:val="24"/>
        </w:rPr>
        <w:t xml:space="preserve">指数报收于519元/吨，比前一报告期下降了1元/吨。新年以来,动力煤价格连跌两周,即便在没有突发利空冲击的情况下,也开始明显动摇市场信心。看空后续煤炭市场的预期仍在走强。 </w:t>
      </w:r>
    </w:p>
    <w:p w:rsidR="007F3268" w:rsidRPr="001F2180" w:rsidRDefault="007F3268" w:rsidP="007F3268">
      <w:pPr>
        <w:tabs>
          <w:tab w:val="left" w:pos="7088"/>
        </w:tabs>
        <w:spacing w:line="360" w:lineRule="auto"/>
        <w:ind w:firstLineChars="200" w:firstLine="480"/>
        <w:rPr>
          <w:rFonts w:ascii="仿宋_GB2312" w:eastAsia="仿宋_GB2312" w:hAnsi="仿宋" w:hint="eastAsia"/>
          <w:sz w:val="24"/>
          <w:szCs w:val="24"/>
        </w:rPr>
      </w:pPr>
      <w:r w:rsidRPr="001F2180">
        <w:rPr>
          <w:rFonts w:ascii="仿宋_GB2312" w:eastAsia="仿宋_GB2312" w:hAnsi="仿宋" w:hint="eastAsia"/>
          <w:sz w:val="24"/>
          <w:szCs w:val="24"/>
        </w:rPr>
        <w:t xml:space="preserve">本周秦皇岛港各动力煤品种价格整体回稳，个别补跌。秦皇岛4500大卡热量动力煤价格为405-415元/吨,环比上期再次下降5元/吨；5000大卡发热量动力煤价格为450-460元/吨，环比持平；5500大卡发热量动力煤价格为515-525元/吨，环比持平；5800大卡发热量动力煤价格为550-560元/吨，环比持平。鉴于上周各港口规格品价格普降且降幅稍大，对价格下行动能消化比较充分，本周煤价波动的“补跌”色彩比较浓重。 </w:t>
      </w:r>
    </w:p>
    <w:p w:rsidR="007F3268" w:rsidRPr="001F2180" w:rsidRDefault="007F3268" w:rsidP="007F3268">
      <w:pPr>
        <w:tabs>
          <w:tab w:val="left" w:pos="7088"/>
        </w:tabs>
        <w:spacing w:line="360" w:lineRule="auto"/>
        <w:ind w:firstLineChars="200" w:firstLine="480"/>
        <w:rPr>
          <w:rFonts w:ascii="仿宋_GB2312" w:eastAsia="仿宋_GB2312" w:hAnsi="仿宋" w:hint="eastAsia"/>
          <w:sz w:val="24"/>
          <w:szCs w:val="24"/>
        </w:rPr>
      </w:pPr>
      <w:r w:rsidRPr="001F2180">
        <w:rPr>
          <w:rFonts w:ascii="仿宋_GB2312" w:eastAsia="仿宋_GB2312" w:hAnsi="仿宋" w:hint="eastAsia"/>
          <w:sz w:val="24"/>
          <w:szCs w:val="24"/>
        </w:rPr>
        <w:t>本期</w:t>
      </w:r>
      <w:hyperlink r:id="rId9" w:tgtFrame="http://news.cqcoal.com/a/xinwenzixun/meishizhouping/2015/0116/_blank" w:history="1">
        <w:r w:rsidRPr="001F2180">
          <w:rPr>
            <w:rFonts w:ascii="仿宋_GB2312" w:eastAsia="仿宋_GB2312" w:hAnsi="仿宋" w:hint="eastAsia"/>
            <w:sz w:val="24"/>
            <w:szCs w:val="24"/>
          </w:rPr>
          <w:t>环渤海动力煤价格指数</w:t>
        </w:r>
      </w:hyperlink>
      <w:r w:rsidRPr="001F2180">
        <w:rPr>
          <w:rFonts w:ascii="仿宋_GB2312" w:eastAsia="仿宋_GB2312" w:hAnsi="仿宋" w:hint="eastAsia"/>
          <w:sz w:val="24"/>
          <w:szCs w:val="24"/>
        </w:rPr>
        <w:t xml:space="preserve">的运行结果表明：价格下降的港口规格品大幅减少，而价格持平的港口规格品数量增加至三分之二，表明该地区动力煤降价动能得到了释放；本期价格指数下降1元/吨，跌幅有所收窄，属于前期降价的延续；截止到本期，价格指数已连续2期下跌，累计下跌了6元/吨、跌幅1.1%。  </w:t>
      </w:r>
    </w:p>
    <w:p w:rsidR="007F3268" w:rsidRDefault="007F3268" w:rsidP="007F3268">
      <w:pPr>
        <w:tabs>
          <w:tab w:val="left" w:pos="7088"/>
        </w:tabs>
        <w:spacing w:line="360" w:lineRule="auto"/>
        <w:ind w:firstLineChars="200" w:firstLine="480"/>
        <w:rPr>
          <w:rFonts w:ascii="仿宋_GB2312" w:eastAsia="仿宋_GB2312" w:hAnsi="仿宋" w:hint="eastAsia"/>
          <w:sz w:val="24"/>
          <w:szCs w:val="24"/>
        </w:rPr>
      </w:pPr>
      <w:r w:rsidRPr="001F2180">
        <w:rPr>
          <w:rFonts w:ascii="仿宋_GB2312" w:eastAsia="仿宋_GB2312" w:hAnsi="仿宋" w:hint="eastAsia"/>
          <w:sz w:val="24"/>
          <w:szCs w:val="24"/>
        </w:rPr>
        <w:t>分析认为：尽管《商品煤质量管理办法》从一定程度上制约了进口煤对沿海市场的供给，但沿海电厂相较往年偏弱的煤炭日耗量、社会库存仍维持相对高位及市场对后续市场供需关系存在悲观预期等因素，均对本期动力煤价格和价格指数产生消极影响，并促使价格指数小幅下滑。就沿海煤炭市场长期运行情况看，“供需平衡情况、企业决策预期、行业政策调控”是左右煤炭价格的三个支点。目前春节临近，市场采购需求释放的空间正在收窄，市场交易活性逐渐回落；而伴随年度合同谈判基调的确定，关于煤企结束拉价、挺价的预期也在增强。煤价的三个支撑如今已去其二，仅靠政策限制货源供应很难延续煤炭价格的上行趋势。</w:t>
      </w:r>
      <w:r>
        <w:rPr>
          <w:rFonts w:ascii="仿宋_GB2312" w:eastAsia="仿宋_GB2312" w:hAnsi="仿宋" w:hint="eastAsia"/>
          <w:sz w:val="24"/>
          <w:szCs w:val="24"/>
        </w:rPr>
        <w:t xml:space="preserve"> </w:t>
      </w:r>
    </w:p>
    <w:p w:rsidR="007F3268" w:rsidRPr="000260C3" w:rsidRDefault="007F3268" w:rsidP="007F3268">
      <w:pPr>
        <w:tabs>
          <w:tab w:val="left" w:pos="7088"/>
        </w:tabs>
        <w:spacing w:line="360" w:lineRule="auto"/>
        <w:rPr>
          <w:rFonts w:ascii="仿宋_GB2312" w:eastAsia="仿宋_GB2312" w:hAnsi="仿宋" w:hint="eastAsia"/>
          <w:b/>
          <w:sz w:val="24"/>
        </w:rPr>
      </w:pPr>
      <w:r w:rsidRPr="000260C3">
        <w:rPr>
          <w:rFonts w:ascii="仿宋_GB2312" w:eastAsia="仿宋_GB2312" w:hAnsi="仿宋" w:hint="eastAsia"/>
          <w:b/>
          <w:sz w:val="24"/>
        </w:rPr>
        <w:t>焦煤：</w:t>
      </w:r>
      <w:r>
        <w:rPr>
          <w:rFonts w:ascii="仿宋_GB2312" w:eastAsia="仿宋_GB2312" w:hAnsi="仿宋" w:hint="eastAsia"/>
          <w:b/>
          <w:sz w:val="24"/>
        </w:rPr>
        <w:t>下跌</w:t>
      </w:r>
    </w:p>
    <w:p w:rsidR="007F3268" w:rsidRPr="000260C3" w:rsidRDefault="007F3268" w:rsidP="007F3268">
      <w:pPr>
        <w:tabs>
          <w:tab w:val="left" w:pos="7088"/>
        </w:tabs>
        <w:spacing w:line="360" w:lineRule="auto"/>
        <w:ind w:firstLineChars="200" w:firstLine="480"/>
        <w:rPr>
          <w:rFonts w:ascii="仿宋_GB2312" w:eastAsia="仿宋_GB2312" w:hAnsi="仿宋"/>
          <w:sz w:val="24"/>
          <w:szCs w:val="24"/>
        </w:rPr>
      </w:pPr>
      <w:r w:rsidRPr="000260C3">
        <w:rPr>
          <w:rFonts w:ascii="仿宋_GB2312" w:eastAsia="仿宋_GB2312" w:hAnsi="仿宋" w:hint="eastAsia"/>
          <w:sz w:val="24"/>
          <w:szCs w:val="24"/>
        </w:rPr>
        <w:t>本周焦煤价格出现一波震荡</w:t>
      </w:r>
      <w:r>
        <w:rPr>
          <w:rFonts w:ascii="仿宋_GB2312" w:eastAsia="仿宋_GB2312" w:hAnsi="仿宋" w:hint="eastAsia"/>
          <w:sz w:val="24"/>
          <w:szCs w:val="24"/>
        </w:rPr>
        <w:t>下跌</w:t>
      </w:r>
      <w:r w:rsidRPr="000260C3">
        <w:rPr>
          <w:rFonts w:ascii="仿宋_GB2312" w:eastAsia="仿宋_GB2312" w:hAnsi="仿宋" w:hint="eastAsia"/>
          <w:sz w:val="24"/>
          <w:szCs w:val="24"/>
        </w:rPr>
        <w:t>。周五渤海商品交易所焦煤出现</w:t>
      </w:r>
      <w:r w:rsidRPr="000260C3">
        <w:rPr>
          <w:rFonts w:ascii="仿宋_GB2312" w:eastAsia="仿宋_GB2312" w:hAnsi="仿宋"/>
          <w:sz w:val="24"/>
          <w:szCs w:val="24"/>
        </w:rPr>
        <w:t>价格回</w:t>
      </w:r>
      <w:r w:rsidRPr="000260C3">
        <w:rPr>
          <w:rFonts w:ascii="仿宋_GB2312" w:eastAsia="仿宋_GB2312" w:hAnsi="仿宋" w:hint="eastAsia"/>
          <w:sz w:val="24"/>
          <w:szCs w:val="24"/>
        </w:rPr>
        <w:t>落收于</w:t>
      </w:r>
      <w:r w:rsidRPr="000260C3">
        <w:rPr>
          <w:rFonts w:ascii="仿宋_GB2312" w:eastAsia="仿宋_GB2312" w:hAnsi="仿宋"/>
          <w:sz w:val="24"/>
          <w:szCs w:val="24"/>
        </w:rPr>
        <w:t>5</w:t>
      </w:r>
      <w:r>
        <w:rPr>
          <w:rFonts w:ascii="仿宋_GB2312" w:eastAsia="仿宋_GB2312" w:hAnsi="仿宋"/>
          <w:sz w:val="24"/>
          <w:szCs w:val="24"/>
        </w:rPr>
        <w:t>89</w:t>
      </w:r>
      <w:r w:rsidRPr="000260C3">
        <w:rPr>
          <w:rFonts w:ascii="仿宋_GB2312" w:eastAsia="仿宋_GB2312" w:hAnsi="仿宋" w:hint="eastAsia"/>
          <w:sz w:val="24"/>
          <w:szCs w:val="24"/>
        </w:rPr>
        <w:t>元，交易量与订货量稳定。</w:t>
      </w:r>
    </w:p>
    <w:p w:rsidR="007F3268" w:rsidRPr="000260C3" w:rsidRDefault="007F3268" w:rsidP="007F3268">
      <w:pPr>
        <w:tabs>
          <w:tab w:val="left" w:pos="7088"/>
        </w:tabs>
        <w:spacing w:line="360" w:lineRule="auto"/>
        <w:ind w:firstLineChars="200" w:firstLine="480"/>
        <w:rPr>
          <w:rFonts w:ascii="仿宋_GB2312" w:eastAsia="仿宋_GB2312" w:hAnsi="仿宋" w:hint="eastAsia"/>
          <w:sz w:val="24"/>
          <w:szCs w:val="24"/>
        </w:rPr>
      </w:pPr>
      <w:r w:rsidRPr="000260C3">
        <w:rPr>
          <w:rFonts w:ascii="仿宋_GB2312" w:eastAsia="仿宋_GB2312" w:hAnsi="仿宋" w:hint="eastAsia"/>
          <w:sz w:val="24"/>
          <w:szCs w:val="24"/>
        </w:rPr>
        <w:t>近期黑色产业链各品种均有所反弹，铁矿石反弹幅度最大，而焦煤最弱。岁末年初，钢厂及焦化厂资金压力大，炼焦煤备货力度偏弱。由于终端需求疲弱，</w:t>
      </w:r>
      <w:r w:rsidRPr="000260C3">
        <w:rPr>
          <w:rFonts w:ascii="仿宋_GB2312" w:eastAsia="仿宋_GB2312" w:hAnsi="仿宋" w:hint="eastAsia"/>
          <w:sz w:val="24"/>
          <w:szCs w:val="24"/>
        </w:rPr>
        <w:lastRenderedPageBreak/>
        <w:t>钢材价格持续下跌，河北地区焦炭价格也出现松动。虽然煤炭企业纷纷挺价，但随着销售压力加大，库存将不断上升，预计煤矿可能在春节前降价促销，焦煤期价存在下行压力。</w:t>
      </w:r>
    </w:p>
    <w:p w:rsidR="007F3268" w:rsidRPr="000260C3" w:rsidRDefault="007F3268" w:rsidP="007F3268">
      <w:pPr>
        <w:tabs>
          <w:tab w:val="left" w:pos="7088"/>
        </w:tabs>
        <w:spacing w:line="360" w:lineRule="auto"/>
        <w:ind w:firstLineChars="200" w:firstLine="480"/>
        <w:rPr>
          <w:rFonts w:ascii="仿宋_GB2312" w:eastAsia="仿宋_GB2312" w:hAnsi="仿宋" w:hint="eastAsia"/>
          <w:sz w:val="24"/>
          <w:szCs w:val="24"/>
        </w:rPr>
      </w:pPr>
      <w:r w:rsidRPr="000260C3">
        <w:rPr>
          <w:rFonts w:ascii="仿宋_GB2312" w:eastAsia="仿宋_GB2312" w:hAnsi="仿宋" w:hint="eastAsia"/>
          <w:sz w:val="24"/>
          <w:szCs w:val="24"/>
        </w:rPr>
        <w:t>虽然煤价大幅下跌，但我国煤炭行业产能仍在扩大。由于煤矿的建矿周期一般是2—4年，2011年煤炭行业高度景气时进行的固定资产投资仍在不断释放产能，预计当前煤炭总产能大约在48亿吨左右。去年1—11月煤炭行业固定资产投资完成额4290亿元，同比下降8.5%，虽然同比增速有所下降，但绝对额依然庞大。巨大的投资将使得2015—2017年煤炭行业产能继续增加。</w:t>
      </w:r>
    </w:p>
    <w:p w:rsidR="007F3268" w:rsidRPr="000260C3" w:rsidRDefault="007F3268" w:rsidP="007F3268">
      <w:pPr>
        <w:tabs>
          <w:tab w:val="left" w:pos="7088"/>
        </w:tabs>
        <w:spacing w:line="360" w:lineRule="auto"/>
        <w:ind w:firstLineChars="200" w:firstLine="480"/>
        <w:rPr>
          <w:rFonts w:ascii="仿宋_GB2312" w:eastAsia="仿宋_GB2312" w:hAnsi="仿宋" w:hint="eastAsia"/>
          <w:sz w:val="24"/>
          <w:szCs w:val="24"/>
        </w:rPr>
      </w:pPr>
      <w:r w:rsidRPr="000260C3">
        <w:rPr>
          <w:rFonts w:ascii="仿宋_GB2312" w:eastAsia="仿宋_GB2312" w:hAnsi="仿宋" w:hint="eastAsia"/>
          <w:sz w:val="24"/>
          <w:szCs w:val="24"/>
        </w:rPr>
        <w:t>煤炭行业供求矛盾突出，去年6月以来政府出台多项政策，要求煤炭企业控制产能、减少产量。随着限产措施的落实，去年9—11月国内原煤产量同比下降幅度有所扩大。统计局数据显示，去年1—11月全国原煤产量为32.55亿吨，同比下降2.48%。虽然今年国内原煤产量仍有望维持负增长，但受国外炼焦煤冲击影响，为了保住市场份额，以生产炼焦煤为主的煤炭企业产量难以下降。</w:t>
      </w:r>
    </w:p>
    <w:p w:rsidR="007F3268" w:rsidRPr="000260C3" w:rsidRDefault="007F3268" w:rsidP="007F3268">
      <w:pPr>
        <w:tabs>
          <w:tab w:val="left" w:pos="7088"/>
        </w:tabs>
        <w:spacing w:line="360" w:lineRule="auto"/>
        <w:ind w:firstLineChars="200" w:firstLine="480"/>
        <w:rPr>
          <w:rFonts w:ascii="仿宋_GB2312" w:eastAsia="仿宋_GB2312" w:hAnsi="仿宋" w:hint="eastAsia"/>
          <w:sz w:val="24"/>
          <w:szCs w:val="24"/>
        </w:rPr>
      </w:pPr>
      <w:r w:rsidRPr="000260C3">
        <w:rPr>
          <w:rFonts w:ascii="仿宋_GB2312" w:eastAsia="仿宋_GB2312" w:hAnsi="仿宋" w:hint="eastAsia"/>
          <w:sz w:val="24"/>
          <w:szCs w:val="24"/>
        </w:rPr>
        <w:t>去年9月以来原油价格暴跌，WTI原油期货从100美元/桶下跌至50美元/桶下方，除了供应增加和需求疲软等基本面因素外，国际投机资金大力做空使得原油价格跌势更猛。在基本面没有改善之前，预期原油仍将维持低位运行，而低价原油将降低煤炭开采及运输成本，使得焦煤成本支撑减弱。</w:t>
      </w:r>
    </w:p>
    <w:p w:rsidR="007F3268" w:rsidRPr="000260C3" w:rsidRDefault="007F3268" w:rsidP="007F3268">
      <w:pPr>
        <w:tabs>
          <w:tab w:val="left" w:pos="7088"/>
        </w:tabs>
        <w:spacing w:line="360" w:lineRule="auto"/>
        <w:ind w:firstLineChars="200" w:firstLine="480"/>
        <w:rPr>
          <w:rFonts w:ascii="仿宋_GB2312" w:eastAsia="仿宋_GB2312" w:hAnsi="仿宋"/>
          <w:sz w:val="24"/>
          <w:szCs w:val="24"/>
        </w:rPr>
      </w:pPr>
      <w:r w:rsidRPr="000260C3">
        <w:rPr>
          <w:rFonts w:ascii="仿宋_GB2312" w:eastAsia="仿宋_GB2312" w:hAnsi="仿宋" w:hint="eastAsia"/>
          <w:sz w:val="24"/>
          <w:szCs w:val="24"/>
        </w:rPr>
        <w:t>近几年，不少独立焦化企业不断拓宽下游化工产业链，利用炼焦过程中产生的焦炉煤气、煤焦油和粗苯等炼焦副产品生产甲醇、烯烃等产业链延伸产品，因此在焦炭价格长期低迷的情况下，这些企业仍有一定盈利。去年9月之前炼焦副产品价格高位运行与原油价格高企有关，原油下跌降低了原油化工产品成本和价格，进而使得炼焦副产品价格下跌，以甲醇为例，山西焦化甲醇出厂价从去年10月初的2250元/吨下跌至1650元/吨。独立焦化企业在利润下降后将减少对炼焦煤的采购力度，后期煤炭企业销售压力将加大。</w:t>
      </w:r>
    </w:p>
    <w:p w:rsidR="007F3268" w:rsidRPr="000260C3" w:rsidRDefault="007F3268" w:rsidP="007F3268">
      <w:pPr>
        <w:tabs>
          <w:tab w:val="left" w:pos="7088"/>
        </w:tabs>
        <w:spacing w:line="360" w:lineRule="auto"/>
        <w:ind w:firstLineChars="200" w:firstLine="480"/>
        <w:rPr>
          <w:rFonts w:ascii="仿宋_GB2312" w:eastAsia="仿宋_GB2312" w:hAnsi="仿宋"/>
          <w:sz w:val="24"/>
          <w:szCs w:val="24"/>
        </w:rPr>
      </w:pPr>
      <w:r w:rsidRPr="000260C3">
        <w:rPr>
          <w:rFonts w:ascii="仿宋_GB2312" w:eastAsia="仿宋_GB2312" w:hAnsi="仿宋" w:hint="eastAsia"/>
          <w:sz w:val="24"/>
          <w:szCs w:val="24"/>
        </w:rPr>
        <w:t>大商所150</w:t>
      </w:r>
      <w:r w:rsidRPr="000260C3">
        <w:rPr>
          <w:rFonts w:ascii="仿宋_GB2312" w:eastAsia="仿宋_GB2312" w:hAnsi="仿宋"/>
          <w:sz w:val="24"/>
          <w:szCs w:val="24"/>
        </w:rPr>
        <w:t>5</w:t>
      </w:r>
      <w:r w:rsidRPr="000260C3">
        <w:rPr>
          <w:rFonts w:ascii="仿宋_GB2312" w:eastAsia="仿宋_GB2312" w:hAnsi="仿宋" w:hint="eastAsia"/>
          <w:sz w:val="24"/>
          <w:szCs w:val="24"/>
        </w:rPr>
        <w:t>合约价格与渤商所焦煤现价有一定价差，投资者可寻找跨市套利机会。个人投资者顺势而为，及时止盈止损。</w:t>
      </w:r>
    </w:p>
    <w:p w:rsidR="007F3268" w:rsidRPr="000260C3" w:rsidRDefault="007F3268" w:rsidP="007F3268">
      <w:pPr>
        <w:tabs>
          <w:tab w:val="left" w:pos="7088"/>
        </w:tabs>
        <w:spacing w:line="360" w:lineRule="auto"/>
        <w:rPr>
          <w:rFonts w:ascii="仿宋_GB2312" w:eastAsia="仿宋_GB2312"/>
          <w:b/>
          <w:sz w:val="24"/>
        </w:rPr>
      </w:pPr>
      <w:r w:rsidRPr="000260C3">
        <w:rPr>
          <w:rFonts w:ascii="仿宋_GB2312" w:eastAsia="仿宋_GB2312" w:hint="eastAsia"/>
          <w:b/>
          <w:sz w:val="24"/>
        </w:rPr>
        <w:t>焦炭：上涨</w:t>
      </w:r>
    </w:p>
    <w:p w:rsidR="007F3268" w:rsidRPr="000260C3" w:rsidRDefault="007F3268" w:rsidP="007F3268">
      <w:pPr>
        <w:tabs>
          <w:tab w:val="left" w:pos="7088"/>
        </w:tabs>
        <w:spacing w:line="360" w:lineRule="auto"/>
        <w:ind w:firstLineChars="200" w:firstLine="480"/>
        <w:rPr>
          <w:rFonts w:ascii="仿宋_GB2312" w:eastAsia="仿宋_GB2312" w:hAnsi="仿宋"/>
          <w:sz w:val="24"/>
          <w:szCs w:val="24"/>
        </w:rPr>
      </w:pPr>
      <w:r w:rsidRPr="000260C3">
        <w:rPr>
          <w:rFonts w:ascii="仿宋_GB2312" w:eastAsia="仿宋_GB2312" w:hAnsi="仿宋" w:hint="eastAsia"/>
          <w:sz w:val="24"/>
          <w:szCs w:val="24"/>
        </w:rPr>
        <w:t>本周焦煤价格相对上周上涨。周五渤海商品交易所焦炭小幅上涨收于</w:t>
      </w:r>
      <w:r w:rsidRPr="000260C3">
        <w:rPr>
          <w:rFonts w:ascii="仿宋_GB2312" w:eastAsia="仿宋_GB2312" w:hAnsi="仿宋"/>
          <w:sz w:val="24"/>
          <w:szCs w:val="24"/>
        </w:rPr>
        <w:t>10</w:t>
      </w:r>
      <w:r>
        <w:rPr>
          <w:rFonts w:ascii="仿宋_GB2312" w:eastAsia="仿宋_GB2312" w:hAnsi="仿宋"/>
          <w:sz w:val="24"/>
          <w:szCs w:val="24"/>
        </w:rPr>
        <w:t>26</w:t>
      </w:r>
      <w:r w:rsidRPr="000260C3">
        <w:rPr>
          <w:rFonts w:ascii="仿宋_GB2312" w:eastAsia="仿宋_GB2312" w:hAnsi="仿宋" w:hint="eastAsia"/>
          <w:sz w:val="24"/>
          <w:szCs w:val="24"/>
        </w:rPr>
        <w:t>元，交易量与订货量稳定。</w:t>
      </w:r>
    </w:p>
    <w:p w:rsidR="007F3268" w:rsidRPr="000260C3" w:rsidRDefault="007F3268" w:rsidP="007F3268">
      <w:pPr>
        <w:tabs>
          <w:tab w:val="left" w:pos="7088"/>
        </w:tabs>
        <w:spacing w:line="360" w:lineRule="auto"/>
        <w:ind w:firstLineChars="200" w:firstLine="480"/>
        <w:rPr>
          <w:rFonts w:ascii="仿宋_GB2312" w:eastAsia="仿宋_GB2312" w:hAnsi="仿宋"/>
          <w:sz w:val="24"/>
          <w:szCs w:val="24"/>
        </w:rPr>
      </w:pPr>
      <w:r w:rsidRPr="000260C3">
        <w:rPr>
          <w:rFonts w:ascii="仿宋_GB2312" w:eastAsia="仿宋_GB2312" w:hAnsi="仿宋" w:hint="eastAsia"/>
          <w:sz w:val="24"/>
          <w:szCs w:val="24"/>
        </w:rPr>
        <w:lastRenderedPageBreak/>
        <w:t>焦炭产量同比下降，10月我国焦炭产量4065万吨，同比下降1%，日均产量131.13万吨，环比下降1.9%；1-10月产量39510万吨，同比下降0.3%。随着APEC会议结束，钢厂高炉开工率有所回升，截至11月21日，回升到89.09，回升到10月初水平。截至11月21日当周，天津港焦炭库存维持在172万吨附近，高位回落。连云港焦炭库存维持在24.8万吨附近，回落明显。</w:t>
      </w:r>
    </w:p>
    <w:p w:rsidR="007F3268" w:rsidRPr="000260C3" w:rsidRDefault="007F3268" w:rsidP="007F3268">
      <w:pPr>
        <w:tabs>
          <w:tab w:val="left" w:pos="7088"/>
        </w:tabs>
        <w:spacing w:line="360" w:lineRule="auto"/>
        <w:ind w:firstLineChars="200" w:firstLine="480"/>
        <w:rPr>
          <w:rFonts w:ascii="仿宋_GB2312" w:eastAsia="仿宋_GB2312" w:hAnsi="仿宋"/>
          <w:sz w:val="24"/>
          <w:szCs w:val="24"/>
        </w:rPr>
      </w:pPr>
      <w:r w:rsidRPr="000260C3">
        <w:rPr>
          <w:rFonts w:ascii="仿宋_GB2312" w:eastAsia="仿宋_GB2312" w:hAnsi="仿宋" w:hint="eastAsia"/>
          <w:sz w:val="24"/>
          <w:szCs w:val="24"/>
        </w:rPr>
        <w:t>中国人民银行决定，自2014年11月22日起下调金融机构人民币贷款和存款基准利率。金融机构一年期贷款基准利率下调0.4个百分点至5.6%；一年期存款基准利率下调0.25个百分点至2.75%。路透社援引接触决策层的消息人士指出，中国意外降息反映了中央政府和中国央行的方向调整，为两年来首次大调整，之前一直坚持温和的刺激措施。</w:t>
      </w:r>
    </w:p>
    <w:p w:rsidR="007F3268" w:rsidRPr="000260C3" w:rsidRDefault="007F3268" w:rsidP="007F3268">
      <w:pPr>
        <w:tabs>
          <w:tab w:val="left" w:pos="7088"/>
        </w:tabs>
        <w:spacing w:line="360" w:lineRule="auto"/>
        <w:ind w:firstLineChars="200" w:firstLine="480"/>
        <w:rPr>
          <w:rFonts w:ascii="仿宋_GB2312" w:eastAsia="仿宋_GB2312" w:hAnsi="仿宋"/>
          <w:sz w:val="24"/>
          <w:szCs w:val="24"/>
        </w:rPr>
      </w:pPr>
      <w:r w:rsidRPr="000260C3">
        <w:rPr>
          <w:rFonts w:ascii="仿宋_GB2312" w:eastAsia="仿宋_GB2312" w:hAnsi="仿宋" w:hint="eastAsia"/>
          <w:sz w:val="24"/>
          <w:szCs w:val="24"/>
        </w:rPr>
        <w:t>中国第三季度经济增速下滑至7.3%，PPI和CPI指数均表现疲软，决策层担心经济增速跌破7%，而7%的经济增速是全球经济危机以来不曾见到的。参与内部决策的一位智囊团经济专家表示，“高层领导已经转变观点”。这位匿名经济学家称，中国央行已经转向全面刺激，并可能再次降息并下调银行准备金率。</w:t>
      </w:r>
    </w:p>
    <w:p w:rsidR="007F3268" w:rsidRPr="000260C3" w:rsidRDefault="007F3268" w:rsidP="007F3268">
      <w:pPr>
        <w:tabs>
          <w:tab w:val="left" w:pos="7088"/>
        </w:tabs>
        <w:spacing w:line="360" w:lineRule="auto"/>
        <w:ind w:firstLineChars="200" w:firstLine="480"/>
        <w:rPr>
          <w:rFonts w:ascii="仿宋_GB2312" w:eastAsia="仿宋_GB2312" w:hAnsi="仿宋"/>
          <w:sz w:val="24"/>
          <w:szCs w:val="24"/>
        </w:rPr>
      </w:pPr>
      <w:r w:rsidRPr="000260C3">
        <w:rPr>
          <w:rFonts w:ascii="仿宋_GB2312" w:eastAsia="仿宋_GB2312" w:hAnsi="仿宋" w:hint="eastAsia"/>
          <w:sz w:val="24"/>
          <w:szCs w:val="24"/>
        </w:rPr>
        <w:t>降息对地产利好。对于开发商而言，一方面，降低了融资成本减轻资金链压力，有助于释放杠杆调整财务；另一方面，突如其来的利好亦如一剂猛药，有助于刺激销售、突击业绩、特别是有助于去化刚需的开发商。而对于购房者来说无疑将减轻还款压力，以一笔100万元的商业房贷为例，基准利率按照20年等额本息还款计算，降息前月供为7485.2元，降息后，月供将降至7251.12元，每月减负234.08元，全年可减负2808.96元，20年可以减少4万元的利息支出。</w:t>
      </w:r>
    </w:p>
    <w:p w:rsidR="007F3268" w:rsidRDefault="007F3268" w:rsidP="007F3268">
      <w:pPr>
        <w:pStyle w:val="ListParagraph"/>
        <w:tabs>
          <w:tab w:val="left" w:pos="7088"/>
        </w:tabs>
        <w:spacing w:line="360" w:lineRule="auto"/>
        <w:ind w:firstLine="480"/>
        <w:rPr>
          <w:rFonts w:ascii="仿宋_GB2312" w:eastAsia="仿宋_GB2312" w:hAnsi="仿宋"/>
          <w:sz w:val="24"/>
          <w:szCs w:val="24"/>
        </w:rPr>
      </w:pPr>
      <w:r w:rsidRPr="000260C3">
        <w:rPr>
          <w:rFonts w:ascii="仿宋_GB2312" w:eastAsia="仿宋_GB2312" w:hAnsi="仿宋" w:hint="eastAsia"/>
          <w:sz w:val="24"/>
          <w:szCs w:val="24"/>
        </w:rPr>
        <w:t>大商所</w:t>
      </w:r>
      <w:r w:rsidRPr="000260C3">
        <w:rPr>
          <w:rFonts w:ascii="仿宋_GB2312" w:eastAsia="仿宋_GB2312" w:hAnsi="仿宋"/>
          <w:sz w:val="24"/>
          <w:szCs w:val="24"/>
        </w:rPr>
        <w:t>1505</w:t>
      </w:r>
      <w:r w:rsidRPr="000260C3">
        <w:rPr>
          <w:rFonts w:ascii="仿宋_GB2312" w:eastAsia="仿宋_GB2312" w:hAnsi="仿宋" w:hint="eastAsia"/>
          <w:sz w:val="24"/>
          <w:szCs w:val="24"/>
        </w:rPr>
        <w:t>合约价格与渤商所焦煤现价有11元</w:t>
      </w:r>
      <w:r w:rsidRPr="000260C3">
        <w:rPr>
          <w:rFonts w:ascii="仿宋_GB2312" w:eastAsia="仿宋_GB2312" w:hAnsi="仿宋"/>
          <w:sz w:val="24"/>
          <w:szCs w:val="24"/>
        </w:rPr>
        <w:t>左右的</w:t>
      </w:r>
      <w:r w:rsidRPr="000260C3">
        <w:rPr>
          <w:rFonts w:ascii="仿宋_GB2312" w:eastAsia="仿宋_GB2312" w:hAnsi="仿宋" w:hint="eastAsia"/>
          <w:sz w:val="24"/>
          <w:szCs w:val="24"/>
        </w:rPr>
        <w:t>价差，投资者可寻找跨市套利机会。个人投资者顺势而为，及时止盈止损。</w:t>
      </w:r>
    </w:p>
    <w:p w:rsidR="007F3268" w:rsidRPr="000260C3" w:rsidRDefault="007F3268" w:rsidP="007F3268">
      <w:pPr>
        <w:tabs>
          <w:tab w:val="left" w:pos="7088"/>
        </w:tabs>
        <w:spacing w:line="360" w:lineRule="auto"/>
        <w:rPr>
          <w:rFonts w:ascii="仿宋_GB2312" w:eastAsia="仿宋_GB2312"/>
          <w:b/>
          <w:sz w:val="24"/>
        </w:rPr>
      </w:pPr>
      <w:r w:rsidRPr="000260C3">
        <w:rPr>
          <w:rFonts w:ascii="仿宋_GB2312" w:eastAsia="仿宋_GB2312" w:hint="eastAsia"/>
          <w:b/>
          <w:sz w:val="24"/>
        </w:rPr>
        <w:t>焦炭：上涨</w:t>
      </w:r>
    </w:p>
    <w:p w:rsidR="007F3268" w:rsidRPr="000260C3" w:rsidRDefault="007F3268" w:rsidP="007F3268">
      <w:pPr>
        <w:tabs>
          <w:tab w:val="left" w:pos="7088"/>
        </w:tabs>
        <w:spacing w:line="360" w:lineRule="auto"/>
        <w:ind w:firstLineChars="200" w:firstLine="480"/>
        <w:rPr>
          <w:rFonts w:ascii="仿宋_GB2312" w:eastAsia="仿宋_GB2312" w:hAnsi="仿宋"/>
          <w:sz w:val="24"/>
          <w:szCs w:val="24"/>
        </w:rPr>
      </w:pPr>
      <w:r w:rsidRPr="000260C3">
        <w:rPr>
          <w:rFonts w:ascii="仿宋_GB2312" w:eastAsia="仿宋_GB2312" w:hAnsi="仿宋" w:hint="eastAsia"/>
          <w:sz w:val="24"/>
          <w:szCs w:val="24"/>
        </w:rPr>
        <w:t>本周焦煤价格相对上周上涨。周五渤海商品交易所焦炭小幅上涨收于</w:t>
      </w:r>
      <w:r w:rsidRPr="000260C3">
        <w:rPr>
          <w:rFonts w:ascii="仿宋_GB2312" w:eastAsia="仿宋_GB2312" w:hAnsi="仿宋"/>
          <w:sz w:val="24"/>
          <w:szCs w:val="24"/>
        </w:rPr>
        <w:t>10</w:t>
      </w:r>
      <w:r>
        <w:rPr>
          <w:rFonts w:ascii="仿宋_GB2312" w:eastAsia="仿宋_GB2312" w:hAnsi="仿宋"/>
          <w:sz w:val="24"/>
          <w:szCs w:val="24"/>
        </w:rPr>
        <w:t>42</w:t>
      </w:r>
      <w:r w:rsidRPr="000260C3">
        <w:rPr>
          <w:rFonts w:ascii="仿宋_GB2312" w:eastAsia="仿宋_GB2312" w:hAnsi="仿宋" w:hint="eastAsia"/>
          <w:sz w:val="24"/>
          <w:szCs w:val="24"/>
        </w:rPr>
        <w:t>元，交易量与订货量稳定。</w:t>
      </w:r>
    </w:p>
    <w:p w:rsidR="007F3268" w:rsidRPr="000260C3" w:rsidRDefault="007F3268" w:rsidP="007F3268">
      <w:pPr>
        <w:tabs>
          <w:tab w:val="left" w:pos="7088"/>
        </w:tabs>
        <w:spacing w:line="360" w:lineRule="auto"/>
        <w:ind w:firstLineChars="200" w:firstLine="480"/>
        <w:rPr>
          <w:rFonts w:ascii="仿宋_GB2312" w:eastAsia="仿宋_GB2312" w:hAnsi="仿宋" w:hint="eastAsia"/>
          <w:sz w:val="24"/>
          <w:szCs w:val="24"/>
        </w:rPr>
      </w:pPr>
      <w:r w:rsidRPr="000260C3">
        <w:rPr>
          <w:rFonts w:ascii="仿宋_GB2312" w:eastAsia="仿宋_GB2312" w:hAnsi="仿宋" w:hint="eastAsia"/>
          <w:sz w:val="24"/>
          <w:szCs w:val="24"/>
        </w:rPr>
        <w:t>去年下半年以来，为避免经济硬着陆，房地产政策出现松动，如限购政策由局部调整转向全面放开等，但房地产市场依然不容乐观，原因在于：一是房地产市场去库存压力很大；二是结构转型期，房地产行业在经济中的地位下滑；三是不动产登记制度即将推出，这将影响部分“灰色需求和投资”。基建方面，尽管</w:t>
      </w:r>
      <w:r w:rsidRPr="000260C3">
        <w:rPr>
          <w:rFonts w:ascii="仿宋_GB2312" w:eastAsia="仿宋_GB2312" w:hAnsi="仿宋" w:hint="eastAsia"/>
          <w:sz w:val="24"/>
          <w:szCs w:val="24"/>
        </w:rPr>
        <w:lastRenderedPageBreak/>
        <w:t>国家发改委在重点项目上持续“大手笔”，但更多体现的是对经济的“托底”之策，以对冲房地产投资下滑给经济造成的伤害，实现经济“软着陆”。</w:t>
      </w:r>
    </w:p>
    <w:p w:rsidR="007F3268" w:rsidRPr="000260C3" w:rsidRDefault="007F3268" w:rsidP="007F3268">
      <w:pPr>
        <w:tabs>
          <w:tab w:val="left" w:pos="7088"/>
        </w:tabs>
        <w:spacing w:line="360" w:lineRule="auto"/>
        <w:ind w:firstLineChars="200" w:firstLine="480"/>
        <w:rPr>
          <w:rFonts w:ascii="仿宋_GB2312" w:eastAsia="仿宋_GB2312" w:hAnsi="仿宋" w:hint="eastAsia"/>
          <w:sz w:val="24"/>
          <w:szCs w:val="24"/>
        </w:rPr>
      </w:pPr>
      <w:r w:rsidRPr="000260C3">
        <w:rPr>
          <w:rFonts w:ascii="仿宋_GB2312" w:eastAsia="仿宋_GB2312" w:hAnsi="仿宋" w:hint="eastAsia"/>
          <w:sz w:val="24"/>
          <w:szCs w:val="24"/>
        </w:rPr>
        <w:t>受益于前期刚性需求的支撑，焦炭走势平稳，供需勉强平衡。但未来一个月，市场环境环比恶化的概率较大。据笔者了解，唐山地区焦炭价格已经出现下调，虽然幅度不大，但持续平稳了大半年的价格出现回调，显然是需求弱化的表现。</w:t>
      </w:r>
    </w:p>
    <w:p w:rsidR="007F3268" w:rsidRPr="000260C3" w:rsidRDefault="007F3268" w:rsidP="007F3268">
      <w:pPr>
        <w:tabs>
          <w:tab w:val="left" w:pos="7088"/>
        </w:tabs>
        <w:spacing w:line="360" w:lineRule="auto"/>
        <w:ind w:firstLineChars="200" w:firstLine="480"/>
        <w:rPr>
          <w:rFonts w:ascii="仿宋_GB2312" w:eastAsia="仿宋_GB2312" w:hAnsi="仿宋" w:hint="eastAsia"/>
          <w:sz w:val="24"/>
          <w:szCs w:val="24"/>
        </w:rPr>
      </w:pPr>
      <w:r w:rsidRPr="000260C3">
        <w:rPr>
          <w:rFonts w:ascii="仿宋_GB2312" w:eastAsia="仿宋_GB2312" w:hAnsi="仿宋" w:hint="eastAsia"/>
          <w:sz w:val="24"/>
          <w:szCs w:val="24"/>
        </w:rPr>
        <w:t>上游煤炭市场心态悲观。去年12月中旬，潞安集团地销精煤、混煤挂牌价下调，上周环渤海地区下水煤价格普降，均表明煤炭市场出现转弱迹象。而下游需求企业库存回落，也说明煤焦市场温和性补库热情逐渐消退，春节前煤炭价格存在较大下跌风险，焦炭成本支撑作用可能会弱化。</w:t>
      </w:r>
    </w:p>
    <w:p w:rsidR="007F3268" w:rsidRDefault="007F3268" w:rsidP="007F3268">
      <w:pPr>
        <w:tabs>
          <w:tab w:val="left" w:pos="7088"/>
        </w:tabs>
        <w:spacing w:line="360" w:lineRule="auto"/>
        <w:ind w:firstLineChars="200" w:firstLine="480"/>
        <w:rPr>
          <w:rFonts w:ascii="仿宋_GB2312" w:eastAsia="仿宋_GB2312" w:hAnsi="仿宋"/>
          <w:sz w:val="24"/>
          <w:szCs w:val="24"/>
        </w:rPr>
      </w:pPr>
      <w:r w:rsidRPr="000260C3">
        <w:rPr>
          <w:rFonts w:ascii="仿宋_GB2312" w:eastAsia="仿宋_GB2312" w:hAnsi="仿宋" w:hint="eastAsia"/>
          <w:sz w:val="24"/>
          <w:szCs w:val="24"/>
        </w:rPr>
        <w:t>由于钢价持续大幅下跌，钢铁行业投资持续下滑，加上行政产能淘汰叠加市场化产能退出超出预期，钢铁行业已经迎来产能拐点，未来产量提升空间有限。反观焦炭市场，产能依旧处于过剩状态，加之新增产能继续投放，后期焦炭供给则仍具有较强的扩张弹性。钢铁与焦炭产能投放出现“错配”，将加剧产业链上下游定价能力的分化，钢强焦弱的格局中短期内难以改变。从产能利用率看，目前主流焦化企业开工水平尚可，但仍有较大提升空间，行业供需面好转将招致行业产能利用率提升，恶化供需格局。</w:t>
      </w:r>
    </w:p>
    <w:p w:rsidR="007F3268" w:rsidRPr="000260C3" w:rsidRDefault="007F3268" w:rsidP="007F3268">
      <w:pPr>
        <w:tabs>
          <w:tab w:val="left" w:pos="7088"/>
        </w:tabs>
        <w:spacing w:line="360" w:lineRule="auto"/>
        <w:ind w:firstLineChars="200" w:firstLine="480"/>
        <w:rPr>
          <w:rFonts w:ascii="仿宋_GB2312" w:eastAsia="仿宋_GB2312" w:hAnsi="仿宋"/>
          <w:sz w:val="24"/>
          <w:szCs w:val="24"/>
        </w:rPr>
      </w:pPr>
      <w:r w:rsidRPr="000260C3">
        <w:rPr>
          <w:rFonts w:ascii="仿宋_GB2312" w:eastAsia="仿宋_GB2312" w:hAnsi="仿宋" w:hint="eastAsia"/>
          <w:sz w:val="24"/>
          <w:szCs w:val="24"/>
        </w:rPr>
        <w:t>大商所</w:t>
      </w:r>
      <w:r w:rsidRPr="000260C3">
        <w:rPr>
          <w:rFonts w:ascii="仿宋_GB2312" w:eastAsia="仿宋_GB2312" w:hAnsi="仿宋"/>
          <w:sz w:val="24"/>
          <w:szCs w:val="24"/>
        </w:rPr>
        <w:t>1505</w:t>
      </w:r>
      <w:r w:rsidRPr="000260C3">
        <w:rPr>
          <w:rFonts w:ascii="仿宋_GB2312" w:eastAsia="仿宋_GB2312" w:hAnsi="仿宋" w:hint="eastAsia"/>
          <w:sz w:val="24"/>
          <w:szCs w:val="24"/>
        </w:rPr>
        <w:t>合约价格与渤商所焦煤现价有11元</w:t>
      </w:r>
      <w:r w:rsidRPr="000260C3">
        <w:rPr>
          <w:rFonts w:ascii="仿宋_GB2312" w:eastAsia="仿宋_GB2312" w:hAnsi="仿宋"/>
          <w:sz w:val="24"/>
          <w:szCs w:val="24"/>
        </w:rPr>
        <w:t>左右的</w:t>
      </w:r>
      <w:r w:rsidRPr="000260C3">
        <w:rPr>
          <w:rFonts w:ascii="仿宋_GB2312" w:eastAsia="仿宋_GB2312" w:hAnsi="仿宋" w:hint="eastAsia"/>
          <w:sz w:val="24"/>
          <w:szCs w:val="24"/>
        </w:rPr>
        <w:t>价差，投资者可寻找跨市套利机会。个人投资者顺势而为，及时止盈止损。</w:t>
      </w:r>
    </w:p>
    <w:p w:rsidR="007F3268" w:rsidRPr="000260C3" w:rsidRDefault="007F3268" w:rsidP="007F3268">
      <w:pPr>
        <w:pStyle w:val="ListParagraph"/>
        <w:tabs>
          <w:tab w:val="left" w:pos="7088"/>
        </w:tabs>
        <w:spacing w:line="360" w:lineRule="auto"/>
        <w:rPr>
          <w:rFonts w:ascii="仿宋_GB2312" w:eastAsia="仿宋_GB2312" w:hAnsi="仿宋" w:hint="eastAsia"/>
          <w:color w:val="000000"/>
        </w:rPr>
      </w:pPr>
    </w:p>
    <w:p w:rsidR="007F3268" w:rsidRDefault="00D945F3" w:rsidP="007F3268">
      <w:pPr>
        <w:spacing w:beforeLines="100" w:before="312" w:line="360" w:lineRule="auto"/>
        <w:outlineLvl w:val="0"/>
        <w:rPr>
          <w:rFonts w:hAnsi="仿宋_GB2312"/>
          <w:b/>
          <w:bCs/>
          <w:sz w:val="36"/>
          <w:szCs w:val="36"/>
        </w:rPr>
      </w:pPr>
      <w:bookmarkStart w:id="0" w:name="_GoBack"/>
      <w:bookmarkEnd w:id="0"/>
      <w:r>
        <w:rPr>
          <w:rFonts w:hAnsi="仿宋_GB2312"/>
          <w:b/>
          <w:bCs/>
          <w:sz w:val="36"/>
          <w:szCs w:val="36"/>
        </w:rPr>
        <w:br w:type="page"/>
      </w:r>
      <w:r w:rsidR="007F3268">
        <w:rPr>
          <w:rFonts w:hAnsi="仿宋_GB2312" w:hint="eastAsia"/>
          <w:b/>
          <w:bCs/>
          <w:sz w:val="36"/>
          <w:szCs w:val="36"/>
        </w:rPr>
        <w:lastRenderedPageBreak/>
        <w:t>【石油化工板块】</w:t>
      </w:r>
    </w:p>
    <w:p w:rsidR="007F3268" w:rsidRDefault="007F3268" w:rsidP="007F3268">
      <w:pPr>
        <w:spacing w:beforeLines="50" w:before="156" w:line="360" w:lineRule="auto"/>
        <w:jc w:val="center"/>
        <w:rPr>
          <w:rFonts w:ascii="仿宋_GB2312" w:eastAsia="仿宋_GB2312"/>
          <w:b/>
          <w:sz w:val="24"/>
          <w:szCs w:val="24"/>
        </w:rPr>
      </w:pPr>
      <w:r>
        <w:rPr>
          <w:rFonts w:ascii="仿宋_GB2312" w:eastAsia="仿宋_GB2312" w:hint="eastAsia"/>
          <w:b/>
          <w:sz w:val="24"/>
          <w:szCs w:val="24"/>
        </w:rPr>
        <w:t>润滑油基础油恩格：</w:t>
      </w:r>
    </w:p>
    <w:p w:rsidR="007F3268" w:rsidRDefault="007F3268" w:rsidP="007F3268">
      <w:pPr>
        <w:pStyle w:val="a8"/>
        <w:spacing w:line="360" w:lineRule="auto"/>
        <w:ind w:firstLineChars="100" w:firstLine="240"/>
        <w:rPr>
          <w:rFonts w:ascii="仿宋_GB2312" w:eastAsia="仿宋_GB2312" w:hint="eastAsia"/>
          <w:sz w:val="24"/>
          <w:szCs w:val="24"/>
        </w:rPr>
      </w:pPr>
      <w:r>
        <w:rPr>
          <w:rFonts w:ascii="仿宋_GB2312" w:eastAsia="仿宋_GB2312" w:hint="eastAsia"/>
          <w:sz w:val="24"/>
          <w:szCs w:val="24"/>
        </w:rPr>
        <w:t>渤商所润滑油基础油恩格:本周润滑油基础油恩格开盘价6.87元/公斤、最高价7.06元/公斤、最低价6.54元/公斤、收盘价6.94元/公斤。</w:t>
      </w:r>
    </w:p>
    <w:p w:rsidR="007F3268" w:rsidRDefault="007F3268" w:rsidP="007F3268">
      <w:pPr>
        <w:spacing w:line="360" w:lineRule="auto"/>
        <w:ind w:firstLineChars="100" w:firstLine="240"/>
        <w:rPr>
          <w:rFonts w:ascii="仿宋_GB2312" w:eastAsia="仿宋_GB2312" w:hint="eastAsia"/>
          <w:sz w:val="24"/>
          <w:szCs w:val="24"/>
        </w:rPr>
      </w:pPr>
      <w:r>
        <w:rPr>
          <w:rFonts w:ascii="仿宋_GB2312" w:eastAsia="仿宋_GB2312" w:hint="eastAsia"/>
          <w:sz w:val="24"/>
          <w:szCs w:val="24"/>
        </w:rPr>
        <w:t>国际原油：2015年开年至今，国际油价继续下滑，WTI已累计下跌9%，布伦特累计下跌15.07%，仅本月14日原油收盘技术性暴涨。</w:t>
      </w:r>
    </w:p>
    <w:p w:rsidR="007F3268" w:rsidRDefault="007F3268" w:rsidP="007F3268">
      <w:pPr>
        <w:pStyle w:val="a8"/>
        <w:spacing w:line="360" w:lineRule="auto"/>
        <w:ind w:firstLineChars="100" w:firstLine="240"/>
        <w:rPr>
          <w:rFonts w:ascii="仿宋_GB2312" w:eastAsia="仿宋_GB2312" w:hint="eastAsia"/>
          <w:sz w:val="24"/>
          <w:szCs w:val="24"/>
        </w:rPr>
      </w:pPr>
      <w:r>
        <w:rPr>
          <w:rFonts w:ascii="仿宋_GB2312" w:eastAsia="仿宋_GB2312" w:hint="eastAsia"/>
          <w:sz w:val="24"/>
          <w:szCs w:val="24"/>
        </w:rPr>
        <w:t>现货润滑油基础油：外围消息仍偏向利空，基础油市场心态在国际油价连续暴跌以及汽柴油下调预期不断升温中陷入谨慎观望局面。尤其是随着国际油价跌破50美元大关，市场担忧心态不断加剧，下游调和企业多对基础油后市持看跌心理，采购、备货积极性十分低迷。终端需求持续疲软也推动市场避险情绪不断升温。调和企业成品润滑油消化速度十分缓慢，生产积极性降至冰点，且有部分调和企业停摆，消化库存以加速资金回笼。尽管往年同期调和企业多在春节前进行备货、补仓，但目前市场利空阴云密布，备货风险不断加剧，商家避险情绪难以带动交投回暖。</w:t>
      </w:r>
    </w:p>
    <w:p w:rsidR="007F3268" w:rsidRDefault="007F3268" w:rsidP="007F3268">
      <w:pPr>
        <w:pStyle w:val="a8"/>
        <w:spacing w:line="360" w:lineRule="auto"/>
        <w:ind w:firstLineChars="100" w:firstLine="240"/>
        <w:rPr>
          <w:rFonts w:hint="eastAsia"/>
        </w:rPr>
      </w:pPr>
      <w:r>
        <w:rPr>
          <w:rFonts w:ascii="仿宋_GB2312" w:eastAsia="仿宋_GB2312" w:hint="eastAsia"/>
          <w:sz w:val="24"/>
          <w:szCs w:val="24"/>
        </w:rPr>
        <w:t>本周渤商所润滑油基础油恩格窄幅震荡，盘面价格低于现货价格0.3元/公斤左右，现货商可根据自身需求在盘面订立B20010合同。</w:t>
      </w:r>
    </w:p>
    <w:p w:rsidR="007F3268" w:rsidRDefault="007F3268" w:rsidP="007F3268">
      <w:pPr>
        <w:spacing w:line="360" w:lineRule="auto"/>
        <w:ind w:firstLineChars="200" w:firstLine="480"/>
        <w:rPr>
          <w:rFonts w:ascii="仿宋_GB2312" w:eastAsia="仿宋_GB2312"/>
          <w:sz w:val="24"/>
          <w:szCs w:val="24"/>
        </w:rPr>
      </w:pPr>
      <w:r>
        <w:rPr>
          <w:rFonts w:ascii="仿宋_GB2312" w:eastAsia="仿宋_GB2312" w:hint="eastAsia"/>
          <w:sz w:val="24"/>
          <w:szCs w:val="24"/>
        </w:rPr>
        <w:t>。</w:t>
      </w:r>
    </w:p>
    <w:p w:rsidR="003308B2" w:rsidRPr="007F3268" w:rsidRDefault="003308B2" w:rsidP="007F3268">
      <w:pPr>
        <w:spacing w:beforeLines="100" w:before="312" w:line="360" w:lineRule="auto"/>
        <w:outlineLvl w:val="0"/>
        <w:rPr>
          <w:rFonts w:ascii="宋体" w:hAnsi="宋体" w:cs="宋体"/>
          <w:b/>
          <w:kern w:val="0"/>
          <w:sz w:val="24"/>
          <w:szCs w:val="24"/>
        </w:rPr>
      </w:pPr>
    </w:p>
    <w:p w:rsidR="003308B2" w:rsidRPr="003308B2" w:rsidRDefault="003308B2" w:rsidP="003308B2">
      <w:pPr>
        <w:spacing w:beforeLines="100" w:before="312" w:line="360" w:lineRule="auto"/>
        <w:outlineLvl w:val="0"/>
        <w:rPr>
          <w:rFonts w:ascii="宋体" w:hAnsi="宋体" w:cs="宋体"/>
          <w:b/>
          <w:kern w:val="0"/>
          <w:sz w:val="24"/>
          <w:szCs w:val="24"/>
        </w:rPr>
      </w:pPr>
    </w:p>
    <w:p w:rsidR="00961973" w:rsidRDefault="00D945F3">
      <w:pPr>
        <w:widowControl/>
        <w:spacing w:line="360" w:lineRule="auto"/>
        <w:ind w:firstLineChars="250" w:firstLine="602"/>
        <w:jc w:val="left"/>
        <w:rPr>
          <w:rFonts w:ascii="宋体" w:hAnsi="宋体" w:cs="宋体"/>
          <w:b/>
          <w:kern w:val="0"/>
          <w:sz w:val="24"/>
          <w:szCs w:val="24"/>
        </w:rPr>
      </w:pPr>
      <w:r>
        <w:rPr>
          <w:rFonts w:ascii="宋体" w:hAnsi="宋体" w:cs="宋体"/>
          <w:b/>
          <w:kern w:val="0"/>
          <w:sz w:val="24"/>
          <w:szCs w:val="24"/>
        </w:rPr>
        <w:t>免责声明：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品种的买卖出价，投资者据此做出的任何投资决策与本公司和作者无关。</w:t>
      </w:r>
    </w:p>
    <w:p w:rsidR="00961973" w:rsidRDefault="00961973"/>
    <w:sectPr w:rsidR="00961973">
      <w:headerReference w:type="default" r:id="rId10"/>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740" w:rsidRDefault="004A2740">
      <w:r>
        <w:separator/>
      </w:r>
    </w:p>
  </w:endnote>
  <w:endnote w:type="continuationSeparator" w:id="0">
    <w:p w:rsidR="004A2740" w:rsidRDefault="004A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ˎ̥">
    <w:altName w:val="Times New Roman"/>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740" w:rsidRDefault="004A2740">
      <w:r>
        <w:separator/>
      </w:r>
    </w:p>
  </w:footnote>
  <w:footnote w:type="continuationSeparator" w:id="0">
    <w:p w:rsidR="004A2740" w:rsidRDefault="004A2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973" w:rsidRDefault="00961973">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1973"/>
    <w:rsid w:val="00010147"/>
    <w:rsid w:val="000E6BC4"/>
    <w:rsid w:val="0015746D"/>
    <w:rsid w:val="001A2326"/>
    <w:rsid w:val="001F7851"/>
    <w:rsid w:val="00210D3B"/>
    <w:rsid w:val="002B0D27"/>
    <w:rsid w:val="002B3A1E"/>
    <w:rsid w:val="002D4565"/>
    <w:rsid w:val="00304C77"/>
    <w:rsid w:val="003308B2"/>
    <w:rsid w:val="003C3878"/>
    <w:rsid w:val="003D0ACE"/>
    <w:rsid w:val="004243BA"/>
    <w:rsid w:val="004A2740"/>
    <w:rsid w:val="00501EE3"/>
    <w:rsid w:val="0052743C"/>
    <w:rsid w:val="005749A9"/>
    <w:rsid w:val="005778B4"/>
    <w:rsid w:val="00685356"/>
    <w:rsid w:val="00696459"/>
    <w:rsid w:val="006C6C3D"/>
    <w:rsid w:val="006E7402"/>
    <w:rsid w:val="0078714E"/>
    <w:rsid w:val="00791A0C"/>
    <w:rsid w:val="007C7048"/>
    <w:rsid w:val="007C7074"/>
    <w:rsid w:val="007F3268"/>
    <w:rsid w:val="00802EDF"/>
    <w:rsid w:val="00875B04"/>
    <w:rsid w:val="00914AF5"/>
    <w:rsid w:val="00961973"/>
    <w:rsid w:val="009D1C72"/>
    <w:rsid w:val="009D72C2"/>
    <w:rsid w:val="00A25483"/>
    <w:rsid w:val="00A421A0"/>
    <w:rsid w:val="00A97113"/>
    <w:rsid w:val="00AB0CA6"/>
    <w:rsid w:val="00BA0F07"/>
    <w:rsid w:val="00C059EA"/>
    <w:rsid w:val="00C52BAB"/>
    <w:rsid w:val="00C67919"/>
    <w:rsid w:val="00C871F7"/>
    <w:rsid w:val="00CE64A0"/>
    <w:rsid w:val="00D106A7"/>
    <w:rsid w:val="00D126B3"/>
    <w:rsid w:val="00D569E7"/>
    <w:rsid w:val="00D828D7"/>
    <w:rsid w:val="00D945F3"/>
    <w:rsid w:val="00DC0B2F"/>
    <w:rsid w:val="00DD3A73"/>
    <w:rsid w:val="00DE74E8"/>
    <w:rsid w:val="00E0562D"/>
    <w:rsid w:val="00EF67E4"/>
    <w:rsid w:val="00F851BC"/>
    <w:rsid w:val="00FD0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Calibri" w:hAnsi="Calibri"/>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rFonts w:ascii="Calibri" w:hAnsi="Calibri"/>
      <w:sz w:val="18"/>
      <w:szCs w:val="18"/>
    </w:rPr>
  </w:style>
  <w:style w:type="paragraph" w:styleId="a5">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6">
    <w:name w:val="Strong"/>
    <w:uiPriority w:val="22"/>
    <w:qFormat/>
    <w:rPr>
      <w:b/>
      <w:bCs/>
    </w:rPr>
  </w:style>
  <w:style w:type="character" w:styleId="a7">
    <w:name w:val="Hyperlink"/>
    <w:rPr>
      <w:rFonts w:ascii="ˎ̥" w:hAnsi="ˎ̥" w:hint="default"/>
      <w:color w:val="000000"/>
      <w:u w:val="none"/>
    </w:rPr>
  </w:style>
  <w:style w:type="paragraph" w:customStyle="1" w:styleId="11">
    <w:name w:val="列出段落11"/>
    <w:pPr>
      <w:ind w:firstLineChars="200" w:firstLine="420"/>
    </w:pPr>
    <w:rPr>
      <w:rFonts w:ascii="Calibri" w:hAnsi="Calibri"/>
    </w:rPr>
  </w:style>
  <w:style w:type="paragraph" w:customStyle="1" w:styleId="1">
    <w:name w:val="列出段落1"/>
    <w:basedOn w:val="a"/>
    <w:qFormat/>
    <w:pPr>
      <w:ind w:firstLineChars="200" w:firstLine="420"/>
    </w:pPr>
    <w:rPr>
      <w:rFonts w:ascii="Calibri" w:hAnsi="Calibri"/>
      <w:szCs w:val="22"/>
    </w:rPr>
  </w:style>
  <w:style w:type="paragraph" w:customStyle="1" w:styleId="10">
    <w:name w:val="列出段落1"/>
    <w:basedOn w:val="a"/>
    <w:pPr>
      <w:ind w:firstLineChars="200" w:firstLine="420"/>
    </w:pPr>
    <w:rPr>
      <w:rFonts w:ascii="Calibri" w:hAnsi="Calibri"/>
      <w:szCs w:val="22"/>
    </w:rPr>
  </w:style>
  <w:style w:type="paragraph" w:customStyle="1" w:styleId="2">
    <w:name w:val="列出段落2"/>
    <w:basedOn w:val="a"/>
    <w:pPr>
      <w:ind w:firstLineChars="200" w:firstLine="420"/>
    </w:pPr>
    <w:rPr>
      <w:rFonts w:ascii="Calibri" w:hAnsi="Calibri"/>
      <w:szCs w:val="22"/>
    </w:rPr>
  </w:style>
  <w:style w:type="paragraph" w:customStyle="1" w:styleId="3">
    <w:name w:val="列出段落3"/>
    <w:basedOn w:val="a"/>
    <w:pPr>
      <w:ind w:firstLineChars="200" w:firstLine="420"/>
    </w:pPr>
    <w:rPr>
      <w:rFonts w:ascii="Calibri" w:hAnsi="Calibri"/>
      <w:szCs w:val="22"/>
    </w:rPr>
  </w:style>
  <w:style w:type="paragraph" w:customStyle="1" w:styleId="4">
    <w:name w:val="列出段落4"/>
    <w:basedOn w:val="a"/>
    <w:pPr>
      <w:ind w:firstLineChars="200" w:firstLine="420"/>
    </w:pPr>
    <w:rPr>
      <w:rFonts w:ascii="Calibri" w:hAnsi="Calibri"/>
      <w:szCs w:val="22"/>
    </w:rPr>
  </w:style>
  <w:style w:type="paragraph" w:customStyle="1" w:styleId="5">
    <w:name w:val="列出段落5"/>
    <w:basedOn w:val="a"/>
    <w:pPr>
      <w:ind w:firstLineChars="200" w:firstLine="420"/>
    </w:pPr>
    <w:rPr>
      <w:rFonts w:ascii="Calibri" w:hAnsi="Calibri"/>
      <w:szCs w:val="22"/>
    </w:rPr>
  </w:style>
  <w:style w:type="paragraph" w:customStyle="1" w:styleId="6">
    <w:name w:val="列出段落6"/>
    <w:basedOn w:val="a"/>
    <w:pPr>
      <w:ind w:firstLineChars="200" w:firstLine="420"/>
    </w:pPr>
    <w:rPr>
      <w:rFonts w:ascii="Calibri" w:hAnsi="Calibri"/>
      <w:szCs w:val="22"/>
    </w:rPr>
  </w:style>
  <w:style w:type="paragraph" w:customStyle="1" w:styleId="7">
    <w:name w:val="列出段落7"/>
    <w:basedOn w:val="a"/>
    <w:uiPriority w:val="99"/>
    <w:pPr>
      <w:ind w:firstLineChars="200" w:firstLine="420"/>
    </w:pPr>
    <w:rPr>
      <w:rFonts w:ascii="Calibri" w:hAnsi="Calibri"/>
      <w:szCs w:val="22"/>
    </w:rPr>
  </w:style>
  <w:style w:type="paragraph" w:customStyle="1" w:styleId="ListParagraph1">
    <w:name w:val="List Paragraph1"/>
    <w:basedOn w:val="a"/>
    <w:uiPriority w:val="99"/>
    <w:pPr>
      <w:ind w:firstLineChars="200" w:firstLine="420"/>
    </w:pPr>
    <w:rPr>
      <w:rFonts w:ascii="Calibri" w:hAnsi="Calibri"/>
      <w:szCs w:val="22"/>
    </w:rPr>
  </w:style>
  <w:style w:type="character" w:customStyle="1" w:styleId="Char0">
    <w:name w:val="页眉 Char"/>
    <w:link w:val="a4"/>
    <w:rPr>
      <w:sz w:val="18"/>
      <w:szCs w:val="18"/>
    </w:rPr>
  </w:style>
  <w:style w:type="character" w:customStyle="1" w:styleId="Char">
    <w:name w:val="页脚 Char"/>
    <w:link w:val="a3"/>
    <w:uiPriority w:val="99"/>
    <w:rPr>
      <w:sz w:val="18"/>
      <w:szCs w:val="18"/>
    </w:rPr>
  </w:style>
  <w:style w:type="paragraph" w:customStyle="1" w:styleId="8">
    <w:name w:val="列出段落8"/>
    <w:basedOn w:val="a"/>
    <w:uiPriority w:val="99"/>
    <w:rsid w:val="00F851BC"/>
    <w:pPr>
      <w:ind w:firstLineChars="200" w:firstLine="420"/>
    </w:pPr>
    <w:rPr>
      <w:rFonts w:ascii="Calibri" w:hAnsi="Calibri"/>
      <w:szCs w:val="22"/>
    </w:rPr>
  </w:style>
  <w:style w:type="paragraph" w:customStyle="1" w:styleId="9">
    <w:name w:val="列出段落9"/>
    <w:basedOn w:val="a"/>
    <w:uiPriority w:val="99"/>
    <w:rsid w:val="003D0ACE"/>
    <w:pPr>
      <w:ind w:firstLineChars="200" w:firstLine="420"/>
    </w:pPr>
    <w:rPr>
      <w:rFonts w:ascii="Calibri" w:hAnsi="Calibri"/>
      <w:szCs w:val="22"/>
    </w:rPr>
  </w:style>
  <w:style w:type="paragraph" w:customStyle="1" w:styleId="100">
    <w:name w:val="列出段落10"/>
    <w:basedOn w:val="a"/>
    <w:uiPriority w:val="99"/>
    <w:rsid w:val="00A97113"/>
    <w:pPr>
      <w:ind w:firstLineChars="200" w:firstLine="420"/>
    </w:pPr>
    <w:rPr>
      <w:rFonts w:ascii="Calibri" w:hAnsi="Calibri"/>
      <w:szCs w:val="22"/>
    </w:rPr>
  </w:style>
  <w:style w:type="paragraph" w:customStyle="1" w:styleId="12">
    <w:name w:val="列出段落12"/>
    <w:basedOn w:val="a"/>
    <w:uiPriority w:val="99"/>
    <w:rsid w:val="00E0562D"/>
    <w:pPr>
      <w:ind w:firstLineChars="200" w:firstLine="420"/>
    </w:pPr>
    <w:rPr>
      <w:rFonts w:ascii="Calibri" w:hAnsi="Calibri"/>
      <w:szCs w:val="22"/>
    </w:rPr>
  </w:style>
  <w:style w:type="paragraph" w:styleId="a8">
    <w:name w:val="List Paragraph"/>
    <w:basedOn w:val="a"/>
    <w:qFormat/>
    <w:rsid w:val="00914AF5"/>
    <w:pPr>
      <w:ind w:firstLineChars="200" w:firstLine="420"/>
    </w:pPr>
    <w:rPr>
      <w:rFonts w:ascii="Calibri" w:hAnsi="Calibri"/>
      <w:szCs w:val="22"/>
    </w:rPr>
  </w:style>
  <w:style w:type="paragraph" w:customStyle="1" w:styleId="13">
    <w:name w:val="列出段落13"/>
    <w:basedOn w:val="a"/>
    <w:rsid w:val="00D828D7"/>
    <w:pPr>
      <w:ind w:firstLineChars="200" w:firstLine="420"/>
    </w:pPr>
    <w:rPr>
      <w:rFonts w:ascii="Calibri" w:hAnsi="Calibri"/>
      <w:szCs w:val="22"/>
    </w:rPr>
  </w:style>
  <w:style w:type="paragraph" w:customStyle="1" w:styleId="ListParagraph">
    <w:name w:val="List Paragraph"/>
    <w:basedOn w:val="a"/>
    <w:rsid w:val="007F3268"/>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9693">
      <w:bodyDiv w:val="1"/>
      <w:marLeft w:val="0"/>
      <w:marRight w:val="0"/>
      <w:marTop w:val="0"/>
      <w:marBottom w:val="0"/>
      <w:divBdr>
        <w:top w:val="none" w:sz="0" w:space="0" w:color="auto"/>
        <w:left w:val="none" w:sz="0" w:space="0" w:color="auto"/>
        <w:bottom w:val="none" w:sz="0" w:space="0" w:color="auto"/>
        <w:right w:val="none" w:sz="0" w:space="0" w:color="auto"/>
      </w:divBdr>
    </w:div>
    <w:div w:id="467207550">
      <w:bodyDiv w:val="1"/>
      <w:marLeft w:val="0"/>
      <w:marRight w:val="0"/>
      <w:marTop w:val="0"/>
      <w:marBottom w:val="0"/>
      <w:divBdr>
        <w:top w:val="none" w:sz="0" w:space="0" w:color="auto"/>
        <w:left w:val="none" w:sz="0" w:space="0" w:color="auto"/>
        <w:bottom w:val="none" w:sz="0" w:space="0" w:color="auto"/>
        <w:right w:val="none" w:sz="0" w:space="0" w:color="auto"/>
      </w:divBdr>
    </w:div>
    <w:div w:id="563832930">
      <w:bodyDiv w:val="1"/>
      <w:marLeft w:val="0"/>
      <w:marRight w:val="0"/>
      <w:marTop w:val="0"/>
      <w:marBottom w:val="0"/>
      <w:divBdr>
        <w:top w:val="none" w:sz="0" w:space="0" w:color="auto"/>
        <w:left w:val="none" w:sz="0" w:space="0" w:color="auto"/>
        <w:bottom w:val="none" w:sz="0" w:space="0" w:color="auto"/>
        <w:right w:val="none" w:sz="0" w:space="0" w:color="auto"/>
      </w:divBdr>
    </w:div>
    <w:div w:id="856777666">
      <w:bodyDiv w:val="1"/>
      <w:marLeft w:val="0"/>
      <w:marRight w:val="0"/>
      <w:marTop w:val="0"/>
      <w:marBottom w:val="0"/>
      <w:divBdr>
        <w:top w:val="none" w:sz="0" w:space="0" w:color="auto"/>
        <w:left w:val="none" w:sz="0" w:space="0" w:color="auto"/>
        <w:bottom w:val="none" w:sz="0" w:space="0" w:color="auto"/>
        <w:right w:val="none" w:sz="0" w:space="0" w:color="auto"/>
      </w:divBdr>
    </w:div>
    <w:div w:id="873465999">
      <w:bodyDiv w:val="1"/>
      <w:marLeft w:val="0"/>
      <w:marRight w:val="0"/>
      <w:marTop w:val="0"/>
      <w:marBottom w:val="0"/>
      <w:divBdr>
        <w:top w:val="none" w:sz="0" w:space="0" w:color="auto"/>
        <w:left w:val="none" w:sz="0" w:space="0" w:color="auto"/>
        <w:bottom w:val="none" w:sz="0" w:space="0" w:color="auto"/>
        <w:right w:val="none" w:sz="0" w:space="0" w:color="auto"/>
      </w:divBdr>
    </w:div>
    <w:div w:id="998271186">
      <w:bodyDiv w:val="1"/>
      <w:marLeft w:val="0"/>
      <w:marRight w:val="0"/>
      <w:marTop w:val="0"/>
      <w:marBottom w:val="0"/>
      <w:divBdr>
        <w:top w:val="none" w:sz="0" w:space="0" w:color="auto"/>
        <w:left w:val="none" w:sz="0" w:space="0" w:color="auto"/>
        <w:bottom w:val="none" w:sz="0" w:space="0" w:color="auto"/>
        <w:right w:val="none" w:sz="0" w:space="0" w:color="auto"/>
      </w:divBdr>
    </w:div>
    <w:div w:id="1134252418">
      <w:bodyDiv w:val="1"/>
      <w:marLeft w:val="0"/>
      <w:marRight w:val="0"/>
      <w:marTop w:val="0"/>
      <w:marBottom w:val="0"/>
      <w:divBdr>
        <w:top w:val="none" w:sz="0" w:space="0" w:color="auto"/>
        <w:left w:val="none" w:sz="0" w:space="0" w:color="auto"/>
        <w:bottom w:val="none" w:sz="0" w:space="0" w:color="auto"/>
        <w:right w:val="none" w:sz="0" w:space="0" w:color="auto"/>
      </w:divBdr>
    </w:div>
    <w:div w:id="1183281849">
      <w:bodyDiv w:val="1"/>
      <w:marLeft w:val="0"/>
      <w:marRight w:val="0"/>
      <w:marTop w:val="0"/>
      <w:marBottom w:val="0"/>
      <w:divBdr>
        <w:top w:val="none" w:sz="0" w:space="0" w:color="auto"/>
        <w:left w:val="none" w:sz="0" w:space="0" w:color="auto"/>
        <w:bottom w:val="none" w:sz="0" w:space="0" w:color="auto"/>
        <w:right w:val="none" w:sz="0" w:space="0" w:color="auto"/>
      </w:divBdr>
    </w:div>
    <w:div w:id="1392073020">
      <w:bodyDiv w:val="1"/>
      <w:marLeft w:val="0"/>
      <w:marRight w:val="0"/>
      <w:marTop w:val="0"/>
      <w:marBottom w:val="0"/>
      <w:divBdr>
        <w:top w:val="none" w:sz="0" w:space="0" w:color="auto"/>
        <w:left w:val="none" w:sz="0" w:space="0" w:color="auto"/>
        <w:bottom w:val="none" w:sz="0" w:space="0" w:color="auto"/>
        <w:right w:val="none" w:sz="0" w:space="0" w:color="auto"/>
      </w:divBdr>
    </w:div>
    <w:div w:id="1424182289">
      <w:bodyDiv w:val="1"/>
      <w:marLeft w:val="0"/>
      <w:marRight w:val="0"/>
      <w:marTop w:val="0"/>
      <w:marBottom w:val="0"/>
      <w:divBdr>
        <w:top w:val="none" w:sz="0" w:space="0" w:color="auto"/>
        <w:left w:val="none" w:sz="0" w:space="0" w:color="auto"/>
        <w:bottom w:val="none" w:sz="0" w:space="0" w:color="auto"/>
        <w:right w:val="none" w:sz="0" w:space="0" w:color="auto"/>
      </w:divBdr>
    </w:div>
    <w:div w:id="1439716179">
      <w:bodyDiv w:val="1"/>
      <w:marLeft w:val="0"/>
      <w:marRight w:val="0"/>
      <w:marTop w:val="0"/>
      <w:marBottom w:val="0"/>
      <w:divBdr>
        <w:top w:val="none" w:sz="0" w:space="0" w:color="auto"/>
        <w:left w:val="none" w:sz="0" w:space="0" w:color="auto"/>
        <w:bottom w:val="none" w:sz="0" w:space="0" w:color="auto"/>
        <w:right w:val="none" w:sz="0" w:space="0" w:color="auto"/>
      </w:divBdr>
    </w:div>
    <w:div w:id="1531990847">
      <w:bodyDiv w:val="1"/>
      <w:marLeft w:val="0"/>
      <w:marRight w:val="0"/>
      <w:marTop w:val="0"/>
      <w:marBottom w:val="0"/>
      <w:divBdr>
        <w:top w:val="none" w:sz="0" w:space="0" w:color="auto"/>
        <w:left w:val="none" w:sz="0" w:space="0" w:color="auto"/>
        <w:bottom w:val="none" w:sz="0" w:space="0" w:color="auto"/>
        <w:right w:val="none" w:sz="0" w:space="0" w:color="auto"/>
      </w:divBdr>
    </w:div>
    <w:div w:id="1591700695">
      <w:bodyDiv w:val="1"/>
      <w:marLeft w:val="0"/>
      <w:marRight w:val="0"/>
      <w:marTop w:val="0"/>
      <w:marBottom w:val="0"/>
      <w:divBdr>
        <w:top w:val="none" w:sz="0" w:space="0" w:color="auto"/>
        <w:left w:val="none" w:sz="0" w:space="0" w:color="auto"/>
        <w:bottom w:val="none" w:sz="0" w:space="0" w:color="auto"/>
        <w:right w:val="none" w:sz="0" w:space="0" w:color="auto"/>
      </w:divBdr>
    </w:div>
    <w:div w:id="1604145456">
      <w:bodyDiv w:val="1"/>
      <w:marLeft w:val="0"/>
      <w:marRight w:val="0"/>
      <w:marTop w:val="0"/>
      <w:marBottom w:val="0"/>
      <w:divBdr>
        <w:top w:val="none" w:sz="0" w:space="0" w:color="auto"/>
        <w:left w:val="none" w:sz="0" w:space="0" w:color="auto"/>
        <w:bottom w:val="none" w:sz="0" w:space="0" w:color="auto"/>
        <w:right w:val="none" w:sz="0" w:space="0" w:color="auto"/>
      </w:divBdr>
    </w:div>
    <w:div w:id="1685401395">
      <w:bodyDiv w:val="1"/>
      <w:marLeft w:val="0"/>
      <w:marRight w:val="0"/>
      <w:marTop w:val="0"/>
      <w:marBottom w:val="0"/>
      <w:divBdr>
        <w:top w:val="none" w:sz="0" w:space="0" w:color="auto"/>
        <w:left w:val="none" w:sz="0" w:space="0" w:color="auto"/>
        <w:bottom w:val="none" w:sz="0" w:space="0" w:color="auto"/>
        <w:right w:val="none" w:sz="0" w:space="0" w:color="auto"/>
      </w:divBdr>
    </w:div>
    <w:div w:id="1778867963">
      <w:bodyDiv w:val="1"/>
      <w:marLeft w:val="0"/>
      <w:marRight w:val="0"/>
      <w:marTop w:val="0"/>
      <w:marBottom w:val="0"/>
      <w:divBdr>
        <w:top w:val="none" w:sz="0" w:space="0" w:color="auto"/>
        <w:left w:val="none" w:sz="0" w:space="0" w:color="auto"/>
        <w:bottom w:val="none" w:sz="0" w:space="0" w:color="auto"/>
        <w:right w:val="none" w:sz="0" w:space="0" w:color="auto"/>
      </w:divBdr>
    </w:div>
    <w:div w:id="1814131201">
      <w:bodyDiv w:val="1"/>
      <w:marLeft w:val="0"/>
      <w:marRight w:val="0"/>
      <w:marTop w:val="0"/>
      <w:marBottom w:val="0"/>
      <w:divBdr>
        <w:top w:val="none" w:sz="0" w:space="0" w:color="auto"/>
        <w:left w:val="none" w:sz="0" w:space="0" w:color="auto"/>
        <w:bottom w:val="none" w:sz="0" w:space="0" w:color="auto"/>
        <w:right w:val="none" w:sz="0" w:space="0" w:color="auto"/>
      </w:divBdr>
    </w:div>
    <w:div w:id="1829318876">
      <w:bodyDiv w:val="1"/>
      <w:marLeft w:val="0"/>
      <w:marRight w:val="0"/>
      <w:marTop w:val="0"/>
      <w:marBottom w:val="0"/>
      <w:divBdr>
        <w:top w:val="none" w:sz="0" w:space="0" w:color="auto"/>
        <w:left w:val="none" w:sz="0" w:space="0" w:color="auto"/>
        <w:bottom w:val="none" w:sz="0" w:space="0" w:color="auto"/>
        <w:right w:val="none" w:sz="0" w:space="0" w:color="auto"/>
      </w:divBdr>
    </w:div>
    <w:div w:id="1859923775">
      <w:bodyDiv w:val="1"/>
      <w:marLeft w:val="0"/>
      <w:marRight w:val="0"/>
      <w:marTop w:val="0"/>
      <w:marBottom w:val="0"/>
      <w:divBdr>
        <w:top w:val="none" w:sz="0" w:space="0" w:color="auto"/>
        <w:left w:val="none" w:sz="0" w:space="0" w:color="auto"/>
        <w:bottom w:val="none" w:sz="0" w:space="0" w:color="auto"/>
        <w:right w:val="none" w:sz="0" w:space="0" w:color="auto"/>
      </w:divBdr>
    </w:div>
    <w:div w:id="2104572806">
      <w:bodyDiv w:val="1"/>
      <w:marLeft w:val="0"/>
      <w:marRight w:val="0"/>
      <w:marTop w:val="0"/>
      <w:marBottom w:val="0"/>
      <w:divBdr>
        <w:top w:val="none" w:sz="0" w:space="0" w:color="auto"/>
        <w:left w:val="none" w:sz="0" w:space="0" w:color="auto"/>
        <w:bottom w:val="none" w:sz="0" w:space="0" w:color="auto"/>
        <w:right w:val="none" w:sz="0" w:space="0" w:color="auto"/>
      </w:divBdr>
    </w:div>
    <w:div w:id="2105109966">
      <w:bodyDiv w:val="1"/>
      <w:marLeft w:val="0"/>
      <w:marRight w:val="0"/>
      <w:marTop w:val="0"/>
      <w:marBottom w:val="0"/>
      <w:divBdr>
        <w:top w:val="none" w:sz="0" w:space="0" w:color="auto"/>
        <w:left w:val="none" w:sz="0" w:space="0" w:color="auto"/>
        <w:bottom w:val="none" w:sz="0" w:space="0" w:color="auto"/>
        <w:right w:val="none" w:sz="0" w:space="0" w:color="auto"/>
      </w:divBdr>
    </w:div>
    <w:div w:id="2136292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sc.org.cn/CoalIndex/chs/ne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c.org.cn/CoalIndex/chs/ne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【煤炭能源板块】</dc:title>
  <dc:creator>user</dc:creator>
  <cp:lastModifiedBy>DELL</cp:lastModifiedBy>
  <cp:revision>28</cp:revision>
  <dcterms:created xsi:type="dcterms:W3CDTF">2014-06-27T09:27:00Z</dcterms:created>
  <dcterms:modified xsi:type="dcterms:W3CDTF">2015-01-16T09:31:00Z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