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73" w:rsidRDefault="00D945F3">
      <w:pPr>
        <w:pStyle w:val="10"/>
        <w:tabs>
          <w:tab w:val="left" w:pos="7088"/>
        </w:tabs>
        <w:spacing w:line="360" w:lineRule="auto"/>
        <w:ind w:firstLineChars="0" w:firstLine="0"/>
        <w:rPr>
          <w:rFonts w:ascii="仿宋_GB2312" w:eastAsia="仿宋_GB2312"/>
          <w:b/>
          <w:sz w:val="24"/>
        </w:rPr>
      </w:pPr>
      <w:r>
        <w:rPr>
          <w:rFonts w:hAnsi="仿宋_GB2312"/>
          <w:b/>
          <w:bCs/>
          <w:sz w:val="36"/>
          <w:szCs w:val="36"/>
        </w:rPr>
        <w:t>【</w:t>
      </w:r>
      <w:r>
        <w:rPr>
          <w:rFonts w:hAnsi="仿宋_GB2312" w:hint="eastAsia"/>
          <w:b/>
          <w:bCs/>
          <w:sz w:val="36"/>
          <w:szCs w:val="36"/>
        </w:rPr>
        <w:t>煤炭能源</w:t>
      </w:r>
      <w:r>
        <w:rPr>
          <w:rFonts w:hAnsi="仿宋_GB2312"/>
          <w:b/>
          <w:bCs/>
          <w:sz w:val="36"/>
          <w:szCs w:val="36"/>
        </w:rPr>
        <w:t>板块】</w:t>
      </w:r>
    </w:p>
    <w:p w:rsidR="00967A40" w:rsidRDefault="00967A40" w:rsidP="00967A40">
      <w:pPr>
        <w:pStyle w:val="ListParagraph"/>
        <w:tabs>
          <w:tab w:val="left" w:pos="7088"/>
        </w:tabs>
        <w:spacing w:line="360" w:lineRule="auto"/>
        <w:ind w:firstLineChars="0" w:firstLine="0"/>
        <w:rPr>
          <w:rFonts w:ascii="仿宋_GB2312" w:eastAsia="仿宋_GB2312" w:hint="eastAsia"/>
          <w:b/>
          <w:sz w:val="24"/>
        </w:rPr>
      </w:pPr>
      <w:r>
        <w:rPr>
          <w:rFonts w:ascii="仿宋_GB2312" w:eastAsia="仿宋_GB2312" w:hint="eastAsia"/>
          <w:b/>
          <w:sz w:val="24"/>
        </w:rPr>
        <w:t>动力煤：小幅上涨</w:t>
      </w:r>
    </w:p>
    <w:p w:rsidR="00967A40" w:rsidRDefault="00967A40" w:rsidP="00967A40">
      <w:pPr>
        <w:pStyle w:val="ListParagraph"/>
        <w:tabs>
          <w:tab w:val="left" w:pos="7088"/>
        </w:tabs>
        <w:spacing w:line="360" w:lineRule="auto"/>
        <w:ind w:firstLine="480"/>
        <w:rPr>
          <w:rFonts w:ascii="仿宋_GB2312" w:eastAsia="仿宋_GB2312" w:hAnsi="仿宋" w:hint="eastAsia"/>
          <w:sz w:val="24"/>
          <w:szCs w:val="24"/>
        </w:rPr>
      </w:pPr>
      <w:r>
        <w:rPr>
          <w:rFonts w:ascii="仿宋_GB2312" w:eastAsia="仿宋_GB2312" w:hAnsi="仿宋" w:hint="eastAsia"/>
          <w:sz w:val="24"/>
          <w:szCs w:val="24"/>
        </w:rPr>
        <w:t>本周环渤海动力</w:t>
      </w:r>
      <w:hyperlink r:id="rId8" w:tgtFrame="http://news.cqcoal.com/a/xinwenzixun/meishizhouping/2015/0109/_blank" w:history="1">
        <w:r>
          <w:rPr>
            <w:rFonts w:ascii="仿宋_GB2312" w:eastAsia="仿宋_GB2312" w:hAnsi="仿宋" w:hint="eastAsia"/>
            <w:sz w:val="24"/>
            <w:szCs w:val="24"/>
          </w:rPr>
          <w:t>煤价格</w:t>
        </w:r>
      </w:hyperlink>
      <w:r>
        <w:rPr>
          <w:rFonts w:ascii="仿宋_GB2312" w:eastAsia="仿宋_GB2312" w:hAnsi="仿宋" w:hint="eastAsia"/>
          <w:sz w:val="24"/>
          <w:szCs w:val="24"/>
        </w:rPr>
        <w:t xml:space="preserve">指数报收于518元/吨，比前一报告期下降了1元/吨。新年以来,动力煤价格连跌三周,即便在没有突发利空冲击的情况下,也开始明显动摇市场信心，看空后续煤炭市场的预期仍在走强。 </w:t>
      </w:r>
    </w:p>
    <w:p w:rsidR="00967A40" w:rsidRDefault="00967A40" w:rsidP="00967A40">
      <w:pPr>
        <w:pStyle w:val="ListParagraph"/>
        <w:tabs>
          <w:tab w:val="left" w:pos="7088"/>
        </w:tabs>
        <w:spacing w:line="360" w:lineRule="auto"/>
        <w:ind w:firstLine="480"/>
        <w:rPr>
          <w:rFonts w:ascii="仿宋_GB2312" w:eastAsia="仿宋_GB2312" w:hAnsi="仿宋" w:hint="eastAsia"/>
          <w:sz w:val="24"/>
          <w:szCs w:val="24"/>
        </w:rPr>
      </w:pPr>
      <w:r>
        <w:rPr>
          <w:rFonts w:ascii="仿宋_GB2312" w:eastAsia="仿宋_GB2312" w:hAnsi="仿宋" w:hint="eastAsia"/>
          <w:sz w:val="24"/>
          <w:szCs w:val="24"/>
        </w:rPr>
        <w:t>本周秦皇岛港各动力煤品种价格整体回稳，个别补跌。</w:t>
      </w:r>
      <w:r w:rsidRPr="00EB6E88">
        <w:rPr>
          <w:rFonts w:ascii="仿宋_GB2312" w:eastAsia="仿宋_GB2312" w:hAnsi="仿宋" w:hint="eastAsia"/>
          <w:sz w:val="24"/>
          <w:szCs w:val="24"/>
        </w:rPr>
        <w:t>秦皇岛港动力煤价下跌。秦皇岛港4500大卡发热量动力煤价格为405-415元/吨，5000大卡发热量动力煤价格为445-455元/吨，5500大卡发热量动力煤价格为515-525元/吨，5800大卡发热量动力煤价格为545-555元/吨。其中，发热量5000、5800大卡动力煤价环比下跌5元/吨，其他煤种价格与上期持平。</w:t>
      </w:r>
    </w:p>
    <w:p w:rsidR="00967A40" w:rsidRDefault="00967A40" w:rsidP="00967A40">
      <w:pPr>
        <w:pStyle w:val="ListParagraph"/>
        <w:tabs>
          <w:tab w:val="left" w:pos="7088"/>
        </w:tabs>
        <w:spacing w:line="360" w:lineRule="auto"/>
        <w:ind w:firstLine="480"/>
        <w:rPr>
          <w:rFonts w:ascii="仿宋_GB2312" w:eastAsia="仿宋_GB2312" w:hAnsi="仿宋" w:hint="eastAsia"/>
          <w:sz w:val="24"/>
          <w:szCs w:val="24"/>
        </w:rPr>
      </w:pPr>
      <w:r w:rsidRPr="00EB6E88">
        <w:rPr>
          <w:rFonts w:ascii="仿宋_GB2312" w:eastAsia="仿宋_GB2312" w:hAnsi="仿宋" w:hint="eastAsia"/>
          <w:sz w:val="24"/>
          <w:szCs w:val="24"/>
        </w:rPr>
        <w:t>本期环渤海动力煤价格指数的运行结果表明：尽管价格持平的港口规格品数量保持在半数以上，但是价格下降的港口规格品数量继续增加，表明该地区动力煤价格跌势有所增强。</w:t>
      </w:r>
      <w:r>
        <w:rPr>
          <w:rFonts w:ascii="仿宋_GB2312" w:eastAsia="仿宋_GB2312" w:hAnsi="仿宋" w:hint="eastAsia"/>
          <w:sz w:val="24"/>
          <w:szCs w:val="24"/>
        </w:rPr>
        <w:t>分析认为</w:t>
      </w:r>
      <w:r w:rsidRPr="00EB6E88">
        <w:rPr>
          <w:rFonts w:ascii="仿宋_GB2312" w:eastAsia="仿宋_GB2312" w:hAnsi="仿宋" w:hint="eastAsia"/>
          <w:sz w:val="24"/>
          <w:szCs w:val="24"/>
        </w:rPr>
        <w:t>，除了前期周评中列举的负面因素对环渤海地区动力煤市场的影响继续有效之外，大型煤炭企业并未像市场传闻的在月中实行降价促销，给市场带来些许信心，但是依然浓厚的观望气氛，使得市场煤炭供求和煤价延续弱势格局，导致本期价格指数微跌。</w:t>
      </w:r>
    </w:p>
    <w:p w:rsidR="00967A40" w:rsidRDefault="00967A40" w:rsidP="00967A40">
      <w:pPr>
        <w:pStyle w:val="ListParagraph"/>
        <w:tabs>
          <w:tab w:val="left" w:pos="7088"/>
        </w:tabs>
        <w:spacing w:line="360" w:lineRule="auto"/>
        <w:ind w:firstLineChars="0" w:firstLine="0"/>
        <w:rPr>
          <w:rFonts w:ascii="仿宋_GB2312" w:eastAsia="仿宋_GB2312" w:hAnsi="仿宋" w:hint="eastAsia"/>
          <w:color w:val="000000"/>
        </w:rPr>
      </w:pPr>
      <w:r>
        <w:rPr>
          <w:rFonts w:ascii="仿宋_GB2312" w:eastAsia="仿宋_GB2312" w:hAnsi="仿宋" w:hint="eastAsia"/>
          <w:sz w:val="24"/>
          <w:szCs w:val="24"/>
        </w:rPr>
        <w:t xml:space="preserve">   </w:t>
      </w:r>
      <w:r w:rsidRPr="00EB6E88">
        <w:rPr>
          <w:rFonts w:ascii="仿宋_GB2312" w:eastAsia="仿宋_GB2312" w:hAnsi="仿宋" w:hint="eastAsia"/>
          <w:sz w:val="24"/>
          <w:szCs w:val="24"/>
        </w:rPr>
        <w:t>当前，船舶燃油费明显下降导致煤炭海运价格的下跌空间基本被挤出，多数船方报价保持在成本边界线附近。虽然煤电双方长协价格的拉锯战仍在持续，但伴随着下游电厂北派拉煤长时间的消极采购行为，北方港口动力煤价格下行呼声高涨，市场再度进入“买涨不买跌”的高度观望氛围中，海运市场询盘活动降至“冰点”，煤炭海运价格继续小幅滑跌。从海运市场动态来看，虽然煤炭海运价格已降至超低点，但当前沿海煤炭运输市场抛锚停航船舶并不多见，多数船舶通过长江流域内的短途运输维持运营，且货物相对充足促进短途运输收益要好于南北航线运输的收益。</w:t>
      </w:r>
    </w:p>
    <w:p w:rsidR="00967A40" w:rsidRPr="000260C3" w:rsidRDefault="00967A40" w:rsidP="00967A40">
      <w:pPr>
        <w:tabs>
          <w:tab w:val="left" w:pos="7088"/>
        </w:tabs>
        <w:spacing w:line="360" w:lineRule="auto"/>
        <w:rPr>
          <w:rFonts w:ascii="仿宋_GB2312" w:eastAsia="仿宋_GB2312" w:hAnsi="仿宋" w:hint="eastAsia"/>
          <w:b/>
          <w:sz w:val="24"/>
        </w:rPr>
      </w:pPr>
      <w:r w:rsidRPr="000260C3">
        <w:rPr>
          <w:rFonts w:ascii="仿宋_GB2312" w:eastAsia="仿宋_GB2312" w:hAnsi="仿宋" w:hint="eastAsia"/>
          <w:b/>
          <w:sz w:val="24"/>
        </w:rPr>
        <w:t>焦煤：</w:t>
      </w:r>
      <w:r>
        <w:rPr>
          <w:rFonts w:ascii="仿宋_GB2312" w:eastAsia="仿宋_GB2312" w:hAnsi="仿宋" w:hint="eastAsia"/>
          <w:b/>
          <w:sz w:val="24"/>
        </w:rPr>
        <w:t>下跌</w:t>
      </w:r>
    </w:p>
    <w:p w:rsidR="00967A40" w:rsidRPr="000260C3" w:rsidRDefault="00967A40" w:rsidP="00967A40">
      <w:pPr>
        <w:tabs>
          <w:tab w:val="left" w:pos="7088"/>
        </w:tabs>
        <w:spacing w:line="360" w:lineRule="auto"/>
        <w:ind w:firstLineChars="200" w:firstLine="480"/>
        <w:rPr>
          <w:rFonts w:ascii="仿宋_GB2312" w:eastAsia="仿宋_GB2312" w:hAnsi="仿宋"/>
          <w:sz w:val="24"/>
          <w:szCs w:val="24"/>
        </w:rPr>
      </w:pPr>
      <w:r w:rsidRPr="000260C3">
        <w:rPr>
          <w:rFonts w:ascii="仿宋_GB2312" w:eastAsia="仿宋_GB2312" w:hAnsi="仿宋" w:hint="eastAsia"/>
          <w:sz w:val="24"/>
          <w:szCs w:val="24"/>
        </w:rPr>
        <w:t>本周焦煤价格出现一波震荡</w:t>
      </w:r>
      <w:r>
        <w:rPr>
          <w:rFonts w:ascii="仿宋_GB2312" w:eastAsia="仿宋_GB2312" w:hAnsi="仿宋" w:hint="eastAsia"/>
          <w:sz w:val="24"/>
          <w:szCs w:val="24"/>
        </w:rPr>
        <w:t>下跌</w:t>
      </w:r>
      <w:r w:rsidRPr="000260C3">
        <w:rPr>
          <w:rFonts w:ascii="仿宋_GB2312" w:eastAsia="仿宋_GB2312" w:hAnsi="仿宋" w:hint="eastAsia"/>
          <w:sz w:val="24"/>
          <w:szCs w:val="24"/>
        </w:rPr>
        <w:t>。周五渤海商品交易所焦煤出现</w:t>
      </w:r>
      <w:r w:rsidRPr="000260C3">
        <w:rPr>
          <w:rFonts w:ascii="仿宋_GB2312" w:eastAsia="仿宋_GB2312" w:hAnsi="仿宋"/>
          <w:sz w:val="24"/>
          <w:szCs w:val="24"/>
        </w:rPr>
        <w:t>价格回</w:t>
      </w:r>
      <w:r w:rsidRPr="000260C3">
        <w:rPr>
          <w:rFonts w:ascii="仿宋_GB2312" w:eastAsia="仿宋_GB2312" w:hAnsi="仿宋" w:hint="eastAsia"/>
          <w:sz w:val="24"/>
          <w:szCs w:val="24"/>
        </w:rPr>
        <w:t>落收于</w:t>
      </w:r>
      <w:r w:rsidRPr="000260C3">
        <w:rPr>
          <w:rFonts w:ascii="仿宋_GB2312" w:eastAsia="仿宋_GB2312" w:hAnsi="仿宋"/>
          <w:sz w:val="24"/>
          <w:szCs w:val="24"/>
        </w:rPr>
        <w:t>5</w:t>
      </w:r>
      <w:r>
        <w:rPr>
          <w:rFonts w:ascii="仿宋_GB2312" w:eastAsia="仿宋_GB2312" w:hAnsi="仿宋"/>
          <w:sz w:val="24"/>
          <w:szCs w:val="24"/>
        </w:rPr>
        <w:t>86</w:t>
      </w:r>
      <w:r w:rsidRPr="000260C3">
        <w:rPr>
          <w:rFonts w:ascii="仿宋_GB2312" w:eastAsia="仿宋_GB2312" w:hAnsi="仿宋" w:hint="eastAsia"/>
          <w:sz w:val="24"/>
          <w:szCs w:val="24"/>
        </w:rPr>
        <w:t>元，交易量与订货量稳定。</w:t>
      </w:r>
    </w:p>
    <w:p w:rsidR="00967A40" w:rsidRPr="00A76DBD" w:rsidRDefault="00967A40" w:rsidP="00967A40">
      <w:pPr>
        <w:tabs>
          <w:tab w:val="left" w:pos="7088"/>
        </w:tabs>
        <w:spacing w:line="360" w:lineRule="auto"/>
        <w:ind w:firstLineChars="200" w:firstLine="480"/>
        <w:rPr>
          <w:rFonts w:ascii="仿宋_GB2312" w:eastAsia="仿宋_GB2312" w:hAnsi="仿宋" w:hint="eastAsia"/>
          <w:sz w:val="24"/>
          <w:szCs w:val="24"/>
        </w:rPr>
      </w:pPr>
      <w:r w:rsidRPr="00A76DBD">
        <w:rPr>
          <w:rFonts w:ascii="仿宋_GB2312" w:eastAsia="仿宋_GB2312" w:hAnsi="仿宋" w:hint="eastAsia"/>
          <w:sz w:val="24"/>
          <w:szCs w:val="24"/>
        </w:rPr>
        <w:t>钢市来看，近期钢材现货价格出现明显下跌，钢厂和贸易商纷纷降价出货，沙钢更是大幅下调了螺纹钢出厂价格120元/吨，市场弥漫了对后市供需矛盾还</w:t>
      </w:r>
      <w:r w:rsidRPr="00A76DBD">
        <w:rPr>
          <w:rFonts w:ascii="仿宋_GB2312" w:eastAsia="仿宋_GB2312" w:hAnsi="仿宋" w:hint="eastAsia"/>
          <w:sz w:val="24"/>
          <w:szCs w:val="24"/>
        </w:rPr>
        <w:lastRenderedPageBreak/>
        <w:t xml:space="preserve">将激化的担忧情绪。而库存方面，钢贸商继续去库存，社会库存向钢厂库存转移的趋势未变。截至1月上旬，重点钢企钢材库存量比去年同期上升12%，到达了1363万吨的高位，比1000万吨的正常库存高出30%多。社会库存也开始进入季节性反弹周期。虽然终端需求低迷，但随着上游成本坍塌，钢厂生产利润较为可观。截至1月16日，全国高炉开工率为94%，唐山地区也恢复至90%的高位，全国粗钢日均产量持续维持在210万吨以上的高位。我们认为作为产能严重过剩的行业，大规模盈利的局面不可延续，后市如果没有大量的新增需求消化，钢价难免面临较大的下行压力。一旦钢材亏损达到钢企的生产成本，届时将出现较大规模的停产、检修，会对上游原材料的需求形成较大的打击。　　　　</w:t>
      </w:r>
    </w:p>
    <w:p w:rsidR="00967A40" w:rsidRPr="000260C3" w:rsidRDefault="00967A40" w:rsidP="00967A40">
      <w:pPr>
        <w:tabs>
          <w:tab w:val="left" w:pos="7088"/>
        </w:tabs>
        <w:spacing w:line="360" w:lineRule="auto"/>
        <w:ind w:firstLineChars="200" w:firstLine="480"/>
        <w:rPr>
          <w:rFonts w:ascii="仿宋_GB2312" w:eastAsia="仿宋_GB2312" w:hAnsi="仿宋"/>
          <w:sz w:val="24"/>
          <w:szCs w:val="24"/>
        </w:rPr>
      </w:pPr>
      <w:r w:rsidRPr="00A76DBD">
        <w:rPr>
          <w:rFonts w:ascii="仿宋_GB2312" w:eastAsia="仿宋_GB2312" w:hAnsi="仿宋" w:hint="eastAsia"/>
          <w:sz w:val="24"/>
          <w:szCs w:val="24"/>
        </w:rPr>
        <w:t xml:space="preserve">从焦煤本身的供需格局来看，2014年焦煤的供应量增加不多，国内增加1500万吨，进口减少了1200万吨。我们认为这种少量增加的供应局面还将维持，目前焦煤上下游企业的库存都很高，需求情况即便在粗钢产量高企的背景下，依旧不景气，主要是整个产业链出于对未来的悲观预期一直秉持去库存的原则。焦化企业经营情况恶化，加上近期甲醇为首的焦化副产品价格大幅回落，焦化企业亏损面扩大至50%。从焦炭去年前11个月的累计产量来看，同比下降了0.4%，随着市场竞争和环保压力持续增大，焦炭产量同比增速将继续回落。焦炭行业目前供应过剩的情况较为严重，6.4万吨的供应面对的是4.7万吨的需求，虽然未能持续扭转亏损，但开工率却保持在85%以上。未来钢企对原材料需求释放更大规模的空间有限，我们认为焦化厂对焦煤的需求处于稳中下行的趋势。而作为黑色产业链的下游房地产行业无疑是需求端影响最大的因素。房地产行业的好坏直接影响到黑色系的价格走向。我们对宏观和地产的看法还是比较谨慎。从近期公布疲弱的经济数据来看，全国固定资产投资同比增长15.37%，增速连续6个月下滑，创出近2013年以来的新低。其中房地产开发投资增速继续回落，较去年同期回落了9.3个百分点至10.5%。而受到财政支出的制约，预计未来国内公共部门投资增速将继续放缓。这两方面对黑色产业链都会产生较大的负面影响，处于产业链最上游的焦煤价格同样受到制约。　</w:t>
      </w:r>
    </w:p>
    <w:p w:rsidR="00967A40" w:rsidRPr="000260C3" w:rsidRDefault="00967A40" w:rsidP="00967A40">
      <w:pPr>
        <w:tabs>
          <w:tab w:val="left" w:pos="7088"/>
        </w:tabs>
        <w:spacing w:line="360" w:lineRule="auto"/>
        <w:ind w:firstLineChars="200" w:firstLine="480"/>
        <w:rPr>
          <w:rFonts w:ascii="仿宋_GB2312" w:eastAsia="仿宋_GB2312" w:hAnsi="仿宋"/>
          <w:sz w:val="24"/>
          <w:szCs w:val="24"/>
        </w:rPr>
      </w:pPr>
      <w:r w:rsidRPr="000260C3">
        <w:rPr>
          <w:rFonts w:ascii="仿宋_GB2312" w:eastAsia="仿宋_GB2312" w:hAnsi="仿宋" w:hint="eastAsia"/>
          <w:sz w:val="24"/>
          <w:szCs w:val="24"/>
        </w:rPr>
        <w:t>大商所150</w:t>
      </w:r>
      <w:r w:rsidRPr="000260C3">
        <w:rPr>
          <w:rFonts w:ascii="仿宋_GB2312" w:eastAsia="仿宋_GB2312" w:hAnsi="仿宋"/>
          <w:sz w:val="24"/>
          <w:szCs w:val="24"/>
        </w:rPr>
        <w:t>5</w:t>
      </w:r>
      <w:r w:rsidRPr="000260C3">
        <w:rPr>
          <w:rFonts w:ascii="仿宋_GB2312" w:eastAsia="仿宋_GB2312" w:hAnsi="仿宋" w:hint="eastAsia"/>
          <w:sz w:val="24"/>
          <w:szCs w:val="24"/>
        </w:rPr>
        <w:t>合约价格与渤商所焦煤现价有一定价差，投资者可寻找跨市套利机会。个人投资者顺势而为，及时止盈止损。</w:t>
      </w:r>
    </w:p>
    <w:p w:rsidR="00967A40" w:rsidRPr="000260C3" w:rsidRDefault="00967A40" w:rsidP="00967A40">
      <w:pPr>
        <w:tabs>
          <w:tab w:val="left" w:pos="7088"/>
        </w:tabs>
        <w:spacing w:line="360" w:lineRule="auto"/>
        <w:rPr>
          <w:rFonts w:ascii="仿宋_GB2312" w:eastAsia="仿宋_GB2312"/>
          <w:b/>
          <w:sz w:val="24"/>
        </w:rPr>
      </w:pPr>
      <w:r w:rsidRPr="000260C3">
        <w:rPr>
          <w:rFonts w:ascii="仿宋_GB2312" w:eastAsia="仿宋_GB2312" w:hint="eastAsia"/>
          <w:b/>
          <w:sz w:val="24"/>
        </w:rPr>
        <w:t>焦炭：</w:t>
      </w:r>
      <w:r>
        <w:rPr>
          <w:rFonts w:ascii="仿宋_GB2312" w:eastAsia="仿宋_GB2312" w:hint="eastAsia"/>
          <w:b/>
          <w:sz w:val="24"/>
        </w:rPr>
        <w:t>下跌</w:t>
      </w:r>
    </w:p>
    <w:p w:rsidR="00967A40" w:rsidRPr="000260C3" w:rsidRDefault="00967A40" w:rsidP="00967A40">
      <w:pPr>
        <w:tabs>
          <w:tab w:val="left" w:pos="7088"/>
        </w:tabs>
        <w:spacing w:line="360" w:lineRule="auto"/>
        <w:ind w:firstLineChars="200" w:firstLine="480"/>
        <w:rPr>
          <w:rFonts w:ascii="仿宋_GB2312" w:eastAsia="仿宋_GB2312" w:hAnsi="仿宋"/>
          <w:sz w:val="24"/>
          <w:szCs w:val="24"/>
        </w:rPr>
      </w:pPr>
      <w:r w:rsidRPr="000260C3">
        <w:rPr>
          <w:rFonts w:ascii="仿宋_GB2312" w:eastAsia="仿宋_GB2312" w:hAnsi="仿宋" w:hint="eastAsia"/>
          <w:sz w:val="24"/>
          <w:szCs w:val="24"/>
        </w:rPr>
        <w:lastRenderedPageBreak/>
        <w:t>本周焦煤价格相对上周</w:t>
      </w:r>
      <w:r>
        <w:rPr>
          <w:rFonts w:ascii="仿宋_GB2312" w:eastAsia="仿宋_GB2312" w:hAnsi="仿宋" w:hint="eastAsia"/>
          <w:sz w:val="24"/>
          <w:szCs w:val="24"/>
        </w:rPr>
        <w:t>下跌</w:t>
      </w:r>
      <w:r w:rsidRPr="000260C3">
        <w:rPr>
          <w:rFonts w:ascii="仿宋_GB2312" w:eastAsia="仿宋_GB2312" w:hAnsi="仿宋" w:hint="eastAsia"/>
          <w:sz w:val="24"/>
          <w:szCs w:val="24"/>
        </w:rPr>
        <w:t>。周五渤海商品交易所焦炭小幅</w:t>
      </w:r>
      <w:r>
        <w:rPr>
          <w:rFonts w:ascii="仿宋_GB2312" w:eastAsia="仿宋_GB2312" w:hAnsi="仿宋" w:hint="eastAsia"/>
          <w:sz w:val="24"/>
          <w:szCs w:val="24"/>
        </w:rPr>
        <w:t>下跌</w:t>
      </w:r>
      <w:r w:rsidRPr="000260C3">
        <w:rPr>
          <w:rFonts w:ascii="仿宋_GB2312" w:eastAsia="仿宋_GB2312" w:hAnsi="仿宋" w:hint="eastAsia"/>
          <w:sz w:val="24"/>
          <w:szCs w:val="24"/>
        </w:rPr>
        <w:t>收于</w:t>
      </w:r>
      <w:r w:rsidRPr="000260C3">
        <w:rPr>
          <w:rFonts w:ascii="仿宋_GB2312" w:eastAsia="仿宋_GB2312" w:hAnsi="仿宋"/>
          <w:sz w:val="24"/>
          <w:szCs w:val="24"/>
        </w:rPr>
        <w:t>10</w:t>
      </w:r>
      <w:r>
        <w:rPr>
          <w:rFonts w:ascii="仿宋_GB2312" w:eastAsia="仿宋_GB2312" w:hAnsi="仿宋"/>
          <w:sz w:val="24"/>
          <w:szCs w:val="24"/>
        </w:rPr>
        <w:t>20</w:t>
      </w:r>
      <w:r w:rsidRPr="000260C3">
        <w:rPr>
          <w:rFonts w:ascii="仿宋_GB2312" w:eastAsia="仿宋_GB2312" w:hAnsi="仿宋" w:hint="eastAsia"/>
          <w:sz w:val="24"/>
          <w:szCs w:val="24"/>
        </w:rPr>
        <w:t>元，交易量与订货量稳定。</w:t>
      </w:r>
    </w:p>
    <w:p w:rsidR="00967A40" w:rsidRPr="000260C3" w:rsidRDefault="00967A40" w:rsidP="00967A40">
      <w:pPr>
        <w:tabs>
          <w:tab w:val="left" w:pos="7088"/>
        </w:tabs>
        <w:spacing w:line="360" w:lineRule="auto"/>
        <w:ind w:firstLineChars="200" w:firstLine="480"/>
        <w:rPr>
          <w:rFonts w:ascii="仿宋_GB2312" w:eastAsia="仿宋_GB2312" w:hAnsi="仿宋"/>
          <w:sz w:val="24"/>
          <w:szCs w:val="24"/>
        </w:rPr>
      </w:pPr>
      <w:r w:rsidRPr="000260C3">
        <w:rPr>
          <w:rFonts w:ascii="仿宋_GB2312" w:eastAsia="仿宋_GB2312" w:hAnsi="仿宋" w:hint="eastAsia"/>
          <w:sz w:val="24"/>
          <w:szCs w:val="24"/>
        </w:rPr>
        <w:t>焦炭产量同比下降，10月我国焦炭产量4065万吨，同比下降1%，日均产量131.13万吨，环比下降1.9%；1-10月产量39510万吨，同比下降0.3%。随着APEC会议结束，钢厂高炉开工率有所回升，截至11月21日，回升到89.09，回升到10月初水平。截至11月21日当周，天津港焦炭库存维持在172万吨附近，高位回落。连云港焦炭库存维持在24.8万吨附近，回落明显。</w:t>
      </w:r>
    </w:p>
    <w:p w:rsidR="00967A40" w:rsidRPr="000260C3" w:rsidRDefault="00967A40" w:rsidP="00967A40">
      <w:pPr>
        <w:tabs>
          <w:tab w:val="left" w:pos="7088"/>
        </w:tabs>
        <w:spacing w:line="360" w:lineRule="auto"/>
        <w:ind w:firstLineChars="200" w:firstLine="480"/>
        <w:rPr>
          <w:rFonts w:ascii="仿宋_GB2312" w:eastAsia="仿宋_GB2312" w:hAnsi="仿宋"/>
          <w:sz w:val="24"/>
          <w:szCs w:val="24"/>
        </w:rPr>
      </w:pPr>
      <w:r w:rsidRPr="000260C3">
        <w:rPr>
          <w:rFonts w:ascii="仿宋_GB2312" w:eastAsia="仿宋_GB2312" w:hAnsi="仿宋" w:hint="eastAsia"/>
          <w:sz w:val="24"/>
          <w:szCs w:val="24"/>
        </w:rPr>
        <w:t>中国人民银行决定，自2014年11月22日起下调金融机构人民币贷款和存款基准利率。金融机构一年期贷款基准利率下调0.4个百分点至5.6%；一年期存款基准利率下调0.25个百分点至2.75%。路透社援引接触决策层的消息人士指出，中国意外降息反映了中央政府和中国央行的方向调整，为两年来首次大调整，之前一直坚持温和的刺激措施。</w:t>
      </w:r>
    </w:p>
    <w:p w:rsidR="00967A40" w:rsidRPr="000260C3" w:rsidRDefault="00967A40" w:rsidP="00967A40">
      <w:pPr>
        <w:tabs>
          <w:tab w:val="left" w:pos="7088"/>
        </w:tabs>
        <w:spacing w:line="360" w:lineRule="auto"/>
        <w:ind w:firstLineChars="200" w:firstLine="480"/>
        <w:rPr>
          <w:rFonts w:ascii="仿宋_GB2312" w:eastAsia="仿宋_GB2312" w:hAnsi="仿宋"/>
          <w:sz w:val="24"/>
          <w:szCs w:val="24"/>
        </w:rPr>
      </w:pPr>
      <w:r w:rsidRPr="000260C3">
        <w:rPr>
          <w:rFonts w:ascii="仿宋_GB2312" w:eastAsia="仿宋_GB2312" w:hAnsi="仿宋" w:hint="eastAsia"/>
          <w:sz w:val="24"/>
          <w:szCs w:val="24"/>
        </w:rPr>
        <w:t>中国第三季度经济增速下滑至7.3%，PPI和CPI指数均表现疲软，决策层担心经济增速跌破7%，而7%的经济增速是全球经济危机以来不曾见到的。参与内部决策的一位智囊团经济专家表示，“高层领导已经转变观点”。这位匿名经济学家称，中国央行已经转向全面刺激，并可能再次降息并下调银行准备金率。</w:t>
      </w:r>
    </w:p>
    <w:p w:rsidR="00967A40" w:rsidRPr="000260C3" w:rsidRDefault="00967A40" w:rsidP="00967A40">
      <w:pPr>
        <w:tabs>
          <w:tab w:val="left" w:pos="7088"/>
        </w:tabs>
        <w:spacing w:line="360" w:lineRule="auto"/>
        <w:ind w:firstLineChars="200" w:firstLine="480"/>
        <w:rPr>
          <w:rFonts w:ascii="仿宋_GB2312" w:eastAsia="仿宋_GB2312" w:hAnsi="仿宋"/>
          <w:sz w:val="24"/>
          <w:szCs w:val="24"/>
        </w:rPr>
      </w:pPr>
      <w:r w:rsidRPr="000260C3">
        <w:rPr>
          <w:rFonts w:ascii="仿宋_GB2312" w:eastAsia="仿宋_GB2312" w:hAnsi="仿宋" w:hint="eastAsia"/>
          <w:sz w:val="24"/>
          <w:szCs w:val="24"/>
        </w:rPr>
        <w:t>降息对地产利好。对于开发商而言，一方面，降低了融资成本减轻资金链压力，有助于释放杠杆调整财务；另一方面，突如其来的利好亦如一剂猛药，有助于刺激销售、突击业绩、特别是有助于去化刚需的开发商。而对于购房者来说无疑将减轻还款压力，以一笔100万元的商业房贷为例，基准利率按照20年等额本息还款计算，降息前月供为7485.2元，降息后，月供将降至7251.12元，每月减负234.08元，全年可减负2808.96元，20年可以减少4万元的利息支出。</w:t>
      </w:r>
    </w:p>
    <w:p w:rsidR="00967A40" w:rsidRDefault="00967A40" w:rsidP="00967A40">
      <w:pPr>
        <w:pStyle w:val="ListParagraph"/>
        <w:tabs>
          <w:tab w:val="left" w:pos="7088"/>
        </w:tabs>
        <w:spacing w:line="360" w:lineRule="auto"/>
        <w:ind w:firstLine="480"/>
        <w:rPr>
          <w:rFonts w:ascii="仿宋_GB2312" w:eastAsia="仿宋_GB2312" w:hAnsi="仿宋"/>
          <w:sz w:val="24"/>
          <w:szCs w:val="24"/>
        </w:rPr>
      </w:pPr>
      <w:r w:rsidRPr="000260C3">
        <w:rPr>
          <w:rFonts w:ascii="仿宋_GB2312" w:eastAsia="仿宋_GB2312" w:hAnsi="仿宋" w:hint="eastAsia"/>
          <w:sz w:val="24"/>
          <w:szCs w:val="24"/>
        </w:rPr>
        <w:t>大商所</w:t>
      </w:r>
      <w:r w:rsidRPr="000260C3">
        <w:rPr>
          <w:rFonts w:ascii="仿宋_GB2312" w:eastAsia="仿宋_GB2312" w:hAnsi="仿宋"/>
          <w:sz w:val="24"/>
          <w:szCs w:val="24"/>
        </w:rPr>
        <w:t>1505</w:t>
      </w:r>
      <w:r w:rsidRPr="000260C3">
        <w:rPr>
          <w:rFonts w:ascii="仿宋_GB2312" w:eastAsia="仿宋_GB2312" w:hAnsi="仿宋" w:hint="eastAsia"/>
          <w:sz w:val="24"/>
          <w:szCs w:val="24"/>
        </w:rPr>
        <w:t>合约价格与渤商所焦煤现价有11元</w:t>
      </w:r>
      <w:r w:rsidRPr="000260C3">
        <w:rPr>
          <w:rFonts w:ascii="仿宋_GB2312" w:eastAsia="仿宋_GB2312" w:hAnsi="仿宋"/>
          <w:sz w:val="24"/>
          <w:szCs w:val="24"/>
        </w:rPr>
        <w:t>左右的</w:t>
      </w:r>
      <w:r w:rsidRPr="000260C3">
        <w:rPr>
          <w:rFonts w:ascii="仿宋_GB2312" w:eastAsia="仿宋_GB2312" w:hAnsi="仿宋" w:hint="eastAsia"/>
          <w:sz w:val="24"/>
          <w:szCs w:val="24"/>
        </w:rPr>
        <w:t>价差，投资者可寻找跨市套利机会。个人投资者顺势而为，及时止盈止损。</w:t>
      </w:r>
    </w:p>
    <w:p w:rsidR="007F3268" w:rsidRPr="00967A40" w:rsidRDefault="00D945F3" w:rsidP="00967A40">
      <w:pPr>
        <w:spacing w:beforeLines="100" w:before="312" w:line="360" w:lineRule="auto"/>
        <w:outlineLvl w:val="0"/>
        <w:rPr>
          <w:rFonts w:ascii="仿宋_GB2312" w:eastAsia="仿宋_GB2312"/>
          <w:sz w:val="24"/>
          <w:szCs w:val="24"/>
        </w:rPr>
      </w:pPr>
      <w:r>
        <w:rPr>
          <w:rFonts w:hAnsi="仿宋_GB2312"/>
          <w:b/>
          <w:bCs/>
          <w:sz w:val="36"/>
          <w:szCs w:val="36"/>
        </w:rPr>
        <w:br w:type="page"/>
      </w:r>
      <w:bookmarkStart w:id="0" w:name="_GoBack"/>
      <w:bookmarkEnd w:id="0"/>
    </w:p>
    <w:p w:rsidR="003308B2" w:rsidRPr="007F3268" w:rsidRDefault="003308B2" w:rsidP="007F3268">
      <w:pPr>
        <w:spacing w:beforeLines="100" w:before="312" w:line="360" w:lineRule="auto"/>
        <w:outlineLvl w:val="0"/>
        <w:rPr>
          <w:rFonts w:ascii="宋体" w:hAnsi="宋体" w:cs="宋体"/>
          <w:b/>
          <w:kern w:val="0"/>
          <w:sz w:val="24"/>
          <w:szCs w:val="24"/>
        </w:rPr>
      </w:pPr>
    </w:p>
    <w:p w:rsidR="003308B2" w:rsidRPr="003308B2" w:rsidRDefault="003308B2" w:rsidP="003308B2">
      <w:pPr>
        <w:spacing w:beforeLines="100" w:before="312" w:line="360" w:lineRule="auto"/>
        <w:outlineLvl w:val="0"/>
        <w:rPr>
          <w:rFonts w:ascii="宋体" w:hAnsi="宋体" w:cs="宋体"/>
          <w:b/>
          <w:kern w:val="0"/>
          <w:sz w:val="24"/>
          <w:szCs w:val="24"/>
        </w:rPr>
      </w:pPr>
    </w:p>
    <w:p w:rsidR="00961973" w:rsidRDefault="00D945F3">
      <w:pPr>
        <w:widowControl/>
        <w:spacing w:line="360" w:lineRule="auto"/>
        <w:ind w:firstLineChars="250" w:firstLine="602"/>
        <w:jc w:val="left"/>
        <w:rPr>
          <w:rFonts w:ascii="宋体" w:hAnsi="宋体" w:cs="宋体"/>
          <w:b/>
          <w:kern w:val="0"/>
          <w:sz w:val="24"/>
          <w:szCs w:val="24"/>
        </w:rPr>
      </w:pPr>
      <w:r>
        <w:rPr>
          <w:rFonts w:ascii="宋体" w:hAnsi="宋体" w:cs="宋体"/>
          <w:b/>
          <w:kern w:val="0"/>
          <w:sz w:val="24"/>
          <w:szCs w:val="24"/>
        </w:rPr>
        <w:t>免责声明：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买卖出价，投资者据此做出的任何投资决策与本公司和作者无关。</w:t>
      </w:r>
    </w:p>
    <w:p w:rsidR="00961973" w:rsidRDefault="00961973"/>
    <w:sectPr w:rsidR="00961973">
      <w:head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33" w:rsidRDefault="00CB6733">
      <w:r>
        <w:separator/>
      </w:r>
    </w:p>
  </w:endnote>
  <w:endnote w:type="continuationSeparator" w:id="0">
    <w:p w:rsidR="00CB6733" w:rsidRDefault="00CB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33" w:rsidRDefault="00CB6733">
      <w:r>
        <w:separator/>
      </w:r>
    </w:p>
  </w:footnote>
  <w:footnote w:type="continuationSeparator" w:id="0">
    <w:p w:rsidR="00CB6733" w:rsidRDefault="00CB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73" w:rsidRDefault="0096197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973"/>
    <w:rsid w:val="00010147"/>
    <w:rsid w:val="000E6BC4"/>
    <w:rsid w:val="0015746D"/>
    <w:rsid w:val="001A2326"/>
    <w:rsid w:val="001F7851"/>
    <w:rsid w:val="00210D3B"/>
    <w:rsid w:val="002B0D27"/>
    <w:rsid w:val="002B3A1E"/>
    <w:rsid w:val="002D4565"/>
    <w:rsid w:val="00304C77"/>
    <w:rsid w:val="003308B2"/>
    <w:rsid w:val="003C3878"/>
    <w:rsid w:val="003D0ACE"/>
    <w:rsid w:val="004243BA"/>
    <w:rsid w:val="004A2740"/>
    <w:rsid w:val="00501EE3"/>
    <w:rsid w:val="0052743C"/>
    <w:rsid w:val="005749A9"/>
    <w:rsid w:val="005778B4"/>
    <w:rsid w:val="00685356"/>
    <w:rsid w:val="00696459"/>
    <w:rsid w:val="006C6C3D"/>
    <w:rsid w:val="006E7402"/>
    <w:rsid w:val="0078714E"/>
    <w:rsid w:val="00791A0C"/>
    <w:rsid w:val="007C7048"/>
    <w:rsid w:val="007C7074"/>
    <w:rsid w:val="007F3268"/>
    <w:rsid w:val="00802EDF"/>
    <w:rsid w:val="00875B04"/>
    <w:rsid w:val="00914AF5"/>
    <w:rsid w:val="00961973"/>
    <w:rsid w:val="00967A40"/>
    <w:rsid w:val="009D1C72"/>
    <w:rsid w:val="009D72C2"/>
    <w:rsid w:val="00A25483"/>
    <w:rsid w:val="00A421A0"/>
    <w:rsid w:val="00A97113"/>
    <w:rsid w:val="00AB0CA6"/>
    <w:rsid w:val="00BA0F07"/>
    <w:rsid w:val="00C059EA"/>
    <w:rsid w:val="00C52BAB"/>
    <w:rsid w:val="00C67919"/>
    <w:rsid w:val="00C871F7"/>
    <w:rsid w:val="00CB6733"/>
    <w:rsid w:val="00CE64A0"/>
    <w:rsid w:val="00D106A7"/>
    <w:rsid w:val="00D126B3"/>
    <w:rsid w:val="00D569E7"/>
    <w:rsid w:val="00D828D7"/>
    <w:rsid w:val="00D945F3"/>
    <w:rsid w:val="00DC0B2F"/>
    <w:rsid w:val="00DD3A73"/>
    <w:rsid w:val="00DE74E8"/>
    <w:rsid w:val="00E0562D"/>
    <w:rsid w:val="00EF67E4"/>
    <w:rsid w:val="00F851BC"/>
    <w:rsid w:val="00FD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character" w:styleId="a7">
    <w:name w:val="Hyperlink"/>
    <w:rPr>
      <w:rFonts w:ascii="ˎ̥" w:hAnsi="ˎ̥" w:hint="default"/>
      <w:color w:val="000000"/>
      <w:u w:val="none"/>
    </w:rPr>
  </w:style>
  <w:style w:type="paragraph" w:customStyle="1" w:styleId="11">
    <w:name w:val="列出段落11"/>
    <w:pPr>
      <w:ind w:firstLineChars="200" w:firstLine="420"/>
    </w:pPr>
    <w:rPr>
      <w:rFonts w:ascii="Calibri" w:hAnsi="Calibri"/>
    </w:rPr>
  </w:style>
  <w:style w:type="paragraph" w:customStyle="1" w:styleId="1">
    <w:name w:val="列出段落1"/>
    <w:basedOn w:val="a"/>
    <w:qFormat/>
    <w:pPr>
      <w:ind w:firstLineChars="200" w:firstLine="420"/>
    </w:pPr>
    <w:rPr>
      <w:rFonts w:ascii="Calibri" w:hAnsi="Calibri"/>
      <w:szCs w:val="22"/>
    </w:rPr>
  </w:style>
  <w:style w:type="paragraph" w:customStyle="1" w:styleId="10">
    <w:name w:val="列出段落1"/>
    <w:basedOn w:val="a"/>
    <w:pPr>
      <w:ind w:firstLineChars="200" w:firstLine="420"/>
    </w:pPr>
    <w:rPr>
      <w:rFonts w:ascii="Calibri" w:hAnsi="Calibri"/>
      <w:szCs w:val="22"/>
    </w:rPr>
  </w:style>
  <w:style w:type="paragraph" w:customStyle="1" w:styleId="2">
    <w:name w:val="列出段落2"/>
    <w:basedOn w:val="a"/>
    <w:pPr>
      <w:ind w:firstLineChars="200" w:firstLine="420"/>
    </w:pPr>
    <w:rPr>
      <w:rFonts w:ascii="Calibri" w:hAnsi="Calibri"/>
      <w:szCs w:val="22"/>
    </w:rPr>
  </w:style>
  <w:style w:type="paragraph" w:customStyle="1" w:styleId="3">
    <w:name w:val="列出段落3"/>
    <w:basedOn w:val="a"/>
    <w:pPr>
      <w:ind w:firstLineChars="200" w:firstLine="420"/>
    </w:pPr>
    <w:rPr>
      <w:rFonts w:ascii="Calibri" w:hAnsi="Calibri"/>
      <w:szCs w:val="22"/>
    </w:rPr>
  </w:style>
  <w:style w:type="paragraph" w:customStyle="1" w:styleId="4">
    <w:name w:val="列出段落4"/>
    <w:basedOn w:val="a"/>
    <w:pPr>
      <w:ind w:firstLineChars="200" w:firstLine="420"/>
    </w:pPr>
    <w:rPr>
      <w:rFonts w:ascii="Calibri" w:hAnsi="Calibri"/>
      <w:szCs w:val="22"/>
    </w:rPr>
  </w:style>
  <w:style w:type="paragraph" w:customStyle="1" w:styleId="5">
    <w:name w:val="列出段落5"/>
    <w:basedOn w:val="a"/>
    <w:pPr>
      <w:ind w:firstLineChars="200" w:firstLine="420"/>
    </w:pPr>
    <w:rPr>
      <w:rFonts w:ascii="Calibri" w:hAnsi="Calibri"/>
      <w:szCs w:val="22"/>
    </w:rPr>
  </w:style>
  <w:style w:type="paragraph" w:customStyle="1" w:styleId="6">
    <w:name w:val="列出段落6"/>
    <w:basedOn w:val="a"/>
    <w:pPr>
      <w:ind w:firstLineChars="200" w:firstLine="420"/>
    </w:pPr>
    <w:rPr>
      <w:rFonts w:ascii="Calibri" w:hAnsi="Calibri"/>
      <w:szCs w:val="22"/>
    </w:rPr>
  </w:style>
  <w:style w:type="paragraph" w:customStyle="1" w:styleId="7">
    <w:name w:val="列出段落7"/>
    <w:basedOn w:val="a"/>
    <w:uiPriority w:val="99"/>
    <w:pPr>
      <w:ind w:firstLineChars="200" w:firstLine="420"/>
    </w:pPr>
    <w:rPr>
      <w:rFonts w:ascii="Calibri" w:hAnsi="Calibri"/>
      <w:szCs w:val="22"/>
    </w:rPr>
  </w:style>
  <w:style w:type="paragraph" w:customStyle="1" w:styleId="ListParagraph1">
    <w:name w:val="List Paragraph1"/>
    <w:basedOn w:val="a"/>
    <w:uiPriority w:val="99"/>
    <w:pPr>
      <w:ind w:firstLineChars="200" w:firstLine="420"/>
    </w:pPr>
    <w:rPr>
      <w:rFonts w:ascii="Calibri" w:hAnsi="Calibri"/>
      <w:szCs w:val="22"/>
    </w:rPr>
  </w:style>
  <w:style w:type="character" w:customStyle="1" w:styleId="Char0">
    <w:name w:val="页眉 Char"/>
    <w:link w:val="a4"/>
    <w:rPr>
      <w:sz w:val="18"/>
      <w:szCs w:val="18"/>
    </w:rPr>
  </w:style>
  <w:style w:type="character" w:customStyle="1" w:styleId="Char">
    <w:name w:val="页脚 Char"/>
    <w:link w:val="a3"/>
    <w:uiPriority w:val="99"/>
    <w:rPr>
      <w:sz w:val="18"/>
      <w:szCs w:val="18"/>
    </w:rPr>
  </w:style>
  <w:style w:type="paragraph" w:customStyle="1" w:styleId="8">
    <w:name w:val="列出段落8"/>
    <w:basedOn w:val="a"/>
    <w:uiPriority w:val="99"/>
    <w:rsid w:val="00F851BC"/>
    <w:pPr>
      <w:ind w:firstLineChars="200" w:firstLine="420"/>
    </w:pPr>
    <w:rPr>
      <w:rFonts w:ascii="Calibri" w:hAnsi="Calibri"/>
      <w:szCs w:val="22"/>
    </w:rPr>
  </w:style>
  <w:style w:type="paragraph" w:customStyle="1" w:styleId="9">
    <w:name w:val="列出段落9"/>
    <w:basedOn w:val="a"/>
    <w:uiPriority w:val="99"/>
    <w:rsid w:val="003D0ACE"/>
    <w:pPr>
      <w:ind w:firstLineChars="200" w:firstLine="420"/>
    </w:pPr>
    <w:rPr>
      <w:rFonts w:ascii="Calibri" w:hAnsi="Calibri"/>
      <w:szCs w:val="22"/>
    </w:rPr>
  </w:style>
  <w:style w:type="paragraph" w:customStyle="1" w:styleId="100">
    <w:name w:val="列出段落10"/>
    <w:basedOn w:val="a"/>
    <w:uiPriority w:val="99"/>
    <w:rsid w:val="00A97113"/>
    <w:pPr>
      <w:ind w:firstLineChars="200" w:firstLine="420"/>
    </w:pPr>
    <w:rPr>
      <w:rFonts w:ascii="Calibri" w:hAnsi="Calibri"/>
      <w:szCs w:val="22"/>
    </w:rPr>
  </w:style>
  <w:style w:type="paragraph" w:customStyle="1" w:styleId="12">
    <w:name w:val="列出段落12"/>
    <w:basedOn w:val="a"/>
    <w:uiPriority w:val="99"/>
    <w:rsid w:val="00E0562D"/>
    <w:pPr>
      <w:ind w:firstLineChars="200" w:firstLine="420"/>
    </w:pPr>
    <w:rPr>
      <w:rFonts w:ascii="Calibri" w:hAnsi="Calibri"/>
      <w:szCs w:val="22"/>
    </w:rPr>
  </w:style>
  <w:style w:type="paragraph" w:styleId="a8">
    <w:name w:val="List Paragraph"/>
    <w:basedOn w:val="a"/>
    <w:qFormat/>
    <w:rsid w:val="00914AF5"/>
    <w:pPr>
      <w:ind w:firstLineChars="200" w:firstLine="420"/>
    </w:pPr>
    <w:rPr>
      <w:rFonts w:ascii="Calibri" w:hAnsi="Calibri"/>
      <w:szCs w:val="22"/>
    </w:rPr>
  </w:style>
  <w:style w:type="paragraph" w:customStyle="1" w:styleId="13">
    <w:name w:val="列出段落13"/>
    <w:basedOn w:val="a"/>
    <w:rsid w:val="00D828D7"/>
    <w:pPr>
      <w:ind w:firstLineChars="200" w:firstLine="420"/>
    </w:pPr>
    <w:rPr>
      <w:rFonts w:ascii="Calibri" w:hAnsi="Calibri"/>
      <w:szCs w:val="22"/>
    </w:rPr>
  </w:style>
  <w:style w:type="paragraph" w:customStyle="1" w:styleId="14">
    <w:name w:val="列出段落14"/>
    <w:basedOn w:val="a"/>
    <w:rsid w:val="007F3268"/>
    <w:pPr>
      <w:ind w:firstLineChars="200" w:firstLine="420"/>
    </w:pPr>
    <w:rPr>
      <w:rFonts w:ascii="Calibri" w:hAnsi="Calibri"/>
      <w:szCs w:val="22"/>
    </w:rPr>
  </w:style>
  <w:style w:type="paragraph" w:customStyle="1" w:styleId="ListParagraph">
    <w:name w:val="List Paragraph"/>
    <w:basedOn w:val="a"/>
    <w:rsid w:val="00967A40"/>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693">
      <w:bodyDiv w:val="1"/>
      <w:marLeft w:val="0"/>
      <w:marRight w:val="0"/>
      <w:marTop w:val="0"/>
      <w:marBottom w:val="0"/>
      <w:divBdr>
        <w:top w:val="none" w:sz="0" w:space="0" w:color="auto"/>
        <w:left w:val="none" w:sz="0" w:space="0" w:color="auto"/>
        <w:bottom w:val="none" w:sz="0" w:space="0" w:color="auto"/>
        <w:right w:val="none" w:sz="0" w:space="0" w:color="auto"/>
      </w:divBdr>
    </w:div>
    <w:div w:id="467207550">
      <w:bodyDiv w:val="1"/>
      <w:marLeft w:val="0"/>
      <w:marRight w:val="0"/>
      <w:marTop w:val="0"/>
      <w:marBottom w:val="0"/>
      <w:divBdr>
        <w:top w:val="none" w:sz="0" w:space="0" w:color="auto"/>
        <w:left w:val="none" w:sz="0" w:space="0" w:color="auto"/>
        <w:bottom w:val="none" w:sz="0" w:space="0" w:color="auto"/>
        <w:right w:val="none" w:sz="0" w:space="0" w:color="auto"/>
      </w:divBdr>
    </w:div>
    <w:div w:id="563832930">
      <w:bodyDiv w:val="1"/>
      <w:marLeft w:val="0"/>
      <w:marRight w:val="0"/>
      <w:marTop w:val="0"/>
      <w:marBottom w:val="0"/>
      <w:divBdr>
        <w:top w:val="none" w:sz="0" w:space="0" w:color="auto"/>
        <w:left w:val="none" w:sz="0" w:space="0" w:color="auto"/>
        <w:bottom w:val="none" w:sz="0" w:space="0" w:color="auto"/>
        <w:right w:val="none" w:sz="0" w:space="0" w:color="auto"/>
      </w:divBdr>
    </w:div>
    <w:div w:id="856777666">
      <w:bodyDiv w:val="1"/>
      <w:marLeft w:val="0"/>
      <w:marRight w:val="0"/>
      <w:marTop w:val="0"/>
      <w:marBottom w:val="0"/>
      <w:divBdr>
        <w:top w:val="none" w:sz="0" w:space="0" w:color="auto"/>
        <w:left w:val="none" w:sz="0" w:space="0" w:color="auto"/>
        <w:bottom w:val="none" w:sz="0" w:space="0" w:color="auto"/>
        <w:right w:val="none" w:sz="0" w:space="0" w:color="auto"/>
      </w:divBdr>
    </w:div>
    <w:div w:id="873465999">
      <w:bodyDiv w:val="1"/>
      <w:marLeft w:val="0"/>
      <w:marRight w:val="0"/>
      <w:marTop w:val="0"/>
      <w:marBottom w:val="0"/>
      <w:divBdr>
        <w:top w:val="none" w:sz="0" w:space="0" w:color="auto"/>
        <w:left w:val="none" w:sz="0" w:space="0" w:color="auto"/>
        <w:bottom w:val="none" w:sz="0" w:space="0" w:color="auto"/>
        <w:right w:val="none" w:sz="0" w:space="0" w:color="auto"/>
      </w:divBdr>
    </w:div>
    <w:div w:id="998271186">
      <w:bodyDiv w:val="1"/>
      <w:marLeft w:val="0"/>
      <w:marRight w:val="0"/>
      <w:marTop w:val="0"/>
      <w:marBottom w:val="0"/>
      <w:divBdr>
        <w:top w:val="none" w:sz="0" w:space="0" w:color="auto"/>
        <w:left w:val="none" w:sz="0" w:space="0" w:color="auto"/>
        <w:bottom w:val="none" w:sz="0" w:space="0" w:color="auto"/>
        <w:right w:val="none" w:sz="0" w:space="0" w:color="auto"/>
      </w:divBdr>
    </w:div>
    <w:div w:id="1134252418">
      <w:bodyDiv w:val="1"/>
      <w:marLeft w:val="0"/>
      <w:marRight w:val="0"/>
      <w:marTop w:val="0"/>
      <w:marBottom w:val="0"/>
      <w:divBdr>
        <w:top w:val="none" w:sz="0" w:space="0" w:color="auto"/>
        <w:left w:val="none" w:sz="0" w:space="0" w:color="auto"/>
        <w:bottom w:val="none" w:sz="0" w:space="0" w:color="auto"/>
        <w:right w:val="none" w:sz="0" w:space="0" w:color="auto"/>
      </w:divBdr>
    </w:div>
    <w:div w:id="1183281849">
      <w:bodyDiv w:val="1"/>
      <w:marLeft w:val="0"/>
      <w:marRight w:val="0"/>
      <w:marTop w:val="0"/>
      <w:marBottom w:val="0"/>
      <w:divBdr>
        <w:top w:val="none" w:sz="0" w:space="0" w:color="auto"/>
        <w:left w:val="none" w:sz="0" w:space="0" w:color="auto"/>
        <w:bottom w:val="none" w:sz="0" w:space="0" w:color="auto"/>
        <w:right w:val="none" w:sz="0" w:space="0" w:color="auto"/>
      </w:divBdr>
    </w:div>
    <w:div w:id="1392073020">
      <w:bodyDiv w:val="1"/>
      <w:marLeft w:val="0"/>
      <w:marRight w:val="0"/>
      <w:marTop w:val="0"/>
      <w:marBottom w:val="0"/>
      <w:divBdr>
        <w:top w:val="none" w:sz="0" w:space="0" w:color="auto"/>
        <w:left w:val="none" w:sz="0" w:space="0" w:color="auto"/>
        <w:bottom w:val="none" w:sz="0" w:space="0" w:color="auto"/>
        <w:right w:val="none" w:sz="0" w:space="0" w:color="auto"/>
      </w:divBdr>
    </w:div>
    <w:div w:id="1424182289">
      <w:bodyDiv w:val="1"/>
      <w:marLeft w:val="0"/>
      <w:marRight w:val="0"/>
      <w:marTop w:val="0"/>
      <w:marBottom w:val="0"/>
      <w:divBdr>
        <w:top w:val="none" w:sz="0" w:space="0" w:color="auto"/>
        <w:left w:val="none" w:sz="0" w:space="0" w:color="auto"/>
        <w:bottom w:val="none" w:sz="0" w:space="0" w:color="auto"/>
        <w:right w:val="none" w:sz="0" w:space="0" w:color="auto"/>
      </w:divBdr>
    </w:div>
    <w:div w:id="1439716179">
      <w:bodyDiv w:val="1"/>
      <w:marLeft w:val="0"/>
      <w:marRight w:val="0"/>
      <w:marTop w:val="0"/>
      <w:marBottom w:val="0"/>
      <w:divBdr>
        <w:top w:val="none" w:sz="0" w:space="0" w:color="auto"/>
        <w:left w:val="none" w:sz="0" w:space="0" w:color="auto"/>
        <w:bottom w:val="none" w:sz="0" w:space="0" w:color="auto"/>
        <w:right w:val="none" w:sz="0" w:space="0" w:color="auto"/>
      </w:divBdr>
    </w:div>
    <w:div w:id="1531990847">
      <w:bodyDiv w:val="1"/>
      <w:marLeft w:val="0"/>
      <w:marRight w:val="0"/>
      <w:marTop w:val="0"/>
      <w:marBottom w:val="0"/>
      <w:divBdr>
        <w:top w:val="none" w:sz="0" w:space="0" w:color="auto"/>
        <w:left w:val="none" w:sz="0" w:space="0" w:color="auto"/>
        <w:bottom w:val="none" w:sz="0" w:space="0" w:color="auto"/>
        <w:right w:val="none" w:sz="0" w:space="0" w:color="auto"/>
      </w:divBdr>
    </w:div>
    <w:div w:id="1591700695">
      <w:bodyDiv w:val="1"/>
      <w:marLeft w:val="0"/>
      <w:marRight w:val="0"/>
      <w:marTop w:val="0"/>
      <w:marBottom w:val="0"/>
      <w:divBdr>
        <w:top w:val="none" w:sz="0" w:space="0" w:color="auto"/>
        <w:left w:val="none" w:sz="0" w:space="0" w:color="auto"/>
        <w:bottom w:val="none" w:sz="0" w:space="0" w:color="auto"/>
        <w:right w:val="none" w:sz="0" w:space="0" w:color="auto"/>
      </w:divBdr>
    </w:div>
    <w:div w:id="1604145456">
      <w:bodyDiv w:val="1"/>
      <w:marLeft w:val="0"/>
      <w:marRight w:val="0"/>
      <w:marTop w:val="0"/>
      <w:marBottom w:val="0"/>
      <w:divBdr>
        <w:top w:val="none" w:sz="0" w:space="0" w:color="auto"/>
        <w:left w:val="none" w:sz="0" w:space="0" w:color="auto"/>
        <w:bottom w:val="none" w:sz="0" w:space="0" w:color="auto"/>
        <w:right w:val="none" w:sz="0" w:space="0" w:color="auto"/>
      </w:divBdr>
    </w:div>
    <w:div w:id="1685401395">
      <w:bodyDiv w:val="1"/>
      <w:marLeft w:val="0"/>
      <w:marRight w:val="0"/>
      <w:marTop w:val="0"/>
      <w:marBottom w:val="0"/>
      <w:divBdr>
        <w:top w:val="none" w:sz="0" w:space="0" w:color="auto"/>
        <w:left w:val="none" w:sz="0" w:space="0" w:color="auto"/>
        <w:bottom w:val="none" w:sz="0" w:space="0" w:color="auto"/>
        <w:right w:val="none" w:sz="0" w:space="0" w:color="auto"/>
      </w:divBdr>
    </w:div>
    <w:div w:id="1778867963">
      <w:bodyDiv w:val="1"/>
      <w:marLeft w:val="0"/>
      <w:marRight w:val="0"/>
      <w:marTop w:val="0"/>
      <w:marBottom w:val="0"/>
      <w:divBdr>
        <w:top w:val="none" w:sz="0" w:space="0" w:color="auto"/>
        <w:left w:val="none" w:sz="0" w:space="0" w:color="auto"/>
        <w:bottom w:val="none" w:sz="0" w:space="0" w:color="auto"/>
        <w:right w:val="none" w:sz="0" w:space="0" w:color="auto"/>
      </w:divBdr>
    </w:div>
    <w:div w:id="1814131201">
      <w:bodyDiv w:val="1"/>
      <w:marLeft w:val="0"/>
      <w:marRight w:val="0"/>
      <w:marTop w:val="0"/>
      <w:marBottom w:val="0"/>
      <w:divBdr>
        <w:top w:val="none" w:sz="0" w:space="0" w:color="auto"/>
        <w:left w:val="none" w:sz="0" w:space="0" w:color="auto"/>
        <w:bottom w:val="none" w:sz="0" w:space="0" w:color="auto"/>
        <w:right w:val="none" w:sz="0" w:space="0" w:color="auto"/>
      </w:divBdr>
    </w:div>
    <w:div w:id="1829318876">
      <w:bodyDiv w:val="1"/>
      <w:marLeft w:val="0"/>
      <w:marRight w:val="0"/>
      <w:marTop w:val="0"/>
      <w:marBottom w:val="0"/>
      <w:divBdr>
        <w:top w:val="none" w:sz="0" w:space="0" w:color="auto"/>
        <w:left w:val="none" w:sz="0" w:space="0" w:color="auto"/>
        <w:bottom w:val="none" w:sz="0" w:space="0" w:color="auto"/>
        <w:right w:val="none" w:sz="0" w:space="0" w:color="auto"/>
      </w:divBdr>
    </w:div>
    <w:div w:id="1859923775">
      <w:bodyDiv w:val="1"/>
      <w:marLeft w:val="0"/>
      <w:marRight w:val="0"/>
      <w:marTop w:val="0"/>
      <w:marBottom w:val="0"/>
      <w:divBdr>
        <w:top w:val="none" w:sz="0" w:space="0" w:color="auto"/>
        <w:left w:val="none" w:sz="0" w:space="0" w:color="auto"/>
        <w:bottom w:val="none" w:sz="0" w:space="0" w:color="auto"/>
        <w:right w:val="none" w:sz="0" w:space="0" w:color="auto"/>
      </w:divBdr>
    </w:div>
    <w:div w:id="2104572806">
      <w:bodyDiv w:val="1"/>
      <w:marLeft w:val="0"/>
      <w:marRight w:val="0"/>
      <w:marTop w:val="0"/>
      <w:marBottom w:val="0"/>
      <w:divBdr>
        <w:top w:val="none" w:sz="0" w:space="0" w:color="auto"/>
        <w:left w:val="none" w:sz="0" w:space="0" w:color="auto"/>
        <w:bottom w:val="none" w:sz="0" w:space="0" w:color="auto"/>
        <w:right w:val="none" w:sz="0" w:space="0" w:color="auto"/>
      </w:divBdr>
    </w:div>
    <w:div w:id="2105109966">
      <w:bodyDiv w:val="1"/>
      <w:marLeft w:val="0"/>
      <w:marRight w:val="0"/>
      <w:marTop w:val="0"/>
      <w:marBottom w:val="0"/>
      <w:divBdr>
        <w:top w:val="none" w:sz="0" w:space="0" w:color="auto"/>
        <w:left w:val="none" w:sz="0" w:space="0" w:color="auto"/>
        <w:bottom w:val="none" w:sz="0" w:space="0" w:color="auto"/>
        <w:right w:val="none" w:sz="0" w:space="0" w:color="auto"/>
      </w:divBdr>
    </w:div>
    <w:div w:id="213629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c.org.cn/CoalIndex/chs/ne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【煤炭能源板块】</dc:title>
  <dc:creator>user</dc:creator>
  <cp:lastModifiedBy>DELL</cp:lastModifiedBy>
  <cp:revision>29</cp:revision>
  <dcterms:created xsi:type="dcterms:W3CDTF">2014-06-27T09:27:00Z</dcterms:created>
  <dcterms:modified xsi:type="dcterms:W3CDTF">2015-01-23T09:51:00Z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