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3" w:rsidRDefault="00D945F3">
      <w:pPr>
        <w:pStyle w:val="10"/>
        <w:tabs>
          <w:tab w:val="left" w:pos="7088"/>
        </w:tabs>
        <w:spacing w:line="360" w:lineRule="auto"/>
        <w:ind w:firstLineChars="0" w:firstLine="0"/>
        <w:rPr>
          <w:rFonts w:ascii="仿宋_GB2312" w:eastAsia="仿宋_GB2312"/>
          <w:b/>
          <w:sz w:val="24"/>
        </w:rPr>
      </w:pPr>
      <w:r>
        <w:rPr>
          <w:rFonts w:hAnsi="仿宋_GB2312"/>
          <w:b/>
          <w:bCs/>
          <w:sz w:val="36"/>
          <w:szCs w:val="36"/>
        </w:rPr>
        <w:t>【</w:t>
      </w:r>
      <w:r>
        <w:rPr>
          <w:rFonts w:hAnsi="仿宋_GB2312" w:hint="eastAsia"/>
          <w:b/>
          <w:bCs/>
          <w:sz w:val="36"/>
          <w:szCs w:val="36"/>
        </w:rPr>
        <w:t>煤炭能源</w:t>
      </w:r>
      <w:r>
        <w:rPr>
          <w:rFonts w:hAnsi="仿宋_GB2312"/>
          <w:b/>
          <w:bCs/>
          <w:sz w:val="36"/>
          <w:szCs w:val="36"/>
        </w:rPr>
        <w:t>板块】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Chars="0" w:firstLine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动力煤：小幅上涨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 w:rsidRPr="00C15B98">
        <w:rPr>
          <w:rFonts w:ascii="仿宋_GB2312" w:eastAsia="仿宋_GB2312" w:hAnsi="仿宋" w:hint="eastAsia"/>
          <w:sz w:val="24"/>
          <w:szCs w:val="24"/>
        </w:rPr>
        <w:t>2月4日，秦皇岛海运煤炭交易市场发布的环渤海动力煤价格指数(BSPI)报收于510元/吨，本报告期（2015年1月28日至2月3日）比前一报告期下降了1元/吨。进入2015年,沿海煤价连跌5周,在春节临近的背景下,煤炭市场成交清淡,价格下挫表明市场看空预期仍比较强。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 w:rsidRPr="00C15B98">
        <w:rPr>
          <w:rFonts w:ascii="仿宋_GB2312" w:eastAsia="仿宋_GB2312" w:hAnsi="仿宋" w:hint="eastAsia"/>
          <w:sz w:val="24"/>
          <w:szCs w:val="24"/>
        </w:rPr>
        <w:t>本周秦皇岛港各动力煤品种价格两跌两平。秦皇岛4500大卡热量动力煤价格为395-405元/吨,环比上期下降5元/吨；5000大卡发热量动力煤价格为435-445元/吨，环比下跌5元/吨；5500大卡发热量动力煤价格为505-515元/吨，环比持平；5800大卡发热量动力煤价格为540-550元/吨，环比持平。受下游采购需求不足制约，环渤海港口中转作业压力持续增大，秦皇岛港库存向上突破800万吨，疏港、促销等都促成了秦皇岛港煤炭价格向周边港靠拢。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 w:rsidRPr="00C15B98">
        <w:rPr>
          <w:rFonts w:ascii="仿宋_GB2312" w:eastAsia="仿宋_GB2312" w:hAnsi="仿宋" w:hint="eastAsia"/>
          <w:sz w:val="24"/>
          <w:szCs w:val="24"/>
        </w:rPr>
        <w:t>本期环渤海动力煤价格指数运行结果表明：尽管本周价格下降的港口规格品数量有所减少，但是仍然保持在三分之二的绝对多数，表明该地区动力煤价格继续呈下降趋势；本期价格指数环比下跌1元/吨，与上一期相比降幅明显收敛；截止到本期，进入2015年的五周，价格指数持续下行，累计下跌了15元/吨；分品种看，4500大卡和5000大卡两个低热值品种交易价格的下降趋势更加明显。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sz w:val="24"/>
          <w:szCs w:val="24"/>
        </w:rPr>
      </w:pPr>
      <w:r w:rsidRPr="00C15B98">
        <w:rPr>
          <w:rFonts w:ascii="仿宋_GB2312" w:eastAsia="仿宋_GB2312" w:hAnsi="仿宋" w:hint="eastAsia"/>
          <w:sz w:val="24"/>
          <w:szCs w:val="24"/>
        </w:rPr>
        <w:t>分析认为，本周不同类型的企业之间、不同港口之间的煤炭价格仍处交错下行过程中。春节前的成交弱势导致价格波动频繁、缺乏持续性支撑。后续受上下游影响的冲击倾向增强：一方面，铁路借运输低位上调运价，置换大户降价带来的空间；另一方面，电价有望出现下调，将对煤价形成下行反馈。从影响上看，煤炭供应成本继续上升，煤炭需求价格倾向回落，两者共同作用将继续驱逐过剩供应，煤价走弱趋势巩固。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rPr>
          <w:rFonts w:ascii="仿宋_GB2312" w:eastAsia="仿宋_GB2312" w:hAnsi="仿宋"/>
          <w:b/>
          <w:sz w:val="24"/>
        </w:rPr>
      </w:pPr>
      <w:r w:rsidRPr="000260C3">
        <w:rPr>
          <w:rFonts w:ascii="仿宋_GB2312" w:eastAsia="仿宋_GB2312" w:hAnsi="仿宋" w:hint="eastAsia"/>
          <w:b/>
          <w:sz w:val="24"/>
        </w:rPr>
        <w:t>焦煤：</w:t>
      </w:r>
      <w:r>
        <w:rPr>
          <w:rFonts w:ascii="仿宋_GB2312" w:eastAsia="仿宋_GB2312" w:hAnsi="仿宋" w:hint="eastAsia"/>
          <w:b/>
          <w:sz w:val="24"/>
        </w:rPr>
        <w:t>震荡持稳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60C3">
        <w:rPr>
          <w:rFonts w:ascii="仿宋_GB2312" w:eastAsia="仿宋_GB2312" w:hAnsi="仿宋" w:hint="eastAsia"/>
          <w:sz w:val="24"/>
          <w:szCs w:val="24"/>
        </w:rPr>
        <w:t>本周焦煤价格出现一波</w:t>
      </w:r>
      <w:r>
        <w:rPr>
          <w:rFonts w:ascii="仿宋_GB2312" w:eastAsia="仿宋_GB2312" w:hAnsi="仿宋" w:hint="eastAsia"/>
          <w:sz w:val="24"/>
          <w:szCs w:val="24"/>
        </w:rPr>
        <w:t>震荡持稳</w:t>
      </w:r>
      <w:r w:rsidRPr="000260C3">
        <w:rPr>
          <w:rFonts w:ascii="仿宋_GB2312" w:eastAsia="仿宋_GB2312" w:hAnsi="仿宋" w:hint="eastAsia"/>
          <w:sz w:val="24"/>
          <w:szCs w:val="24"/>
        </w:rPr>
        <w:t>。周五渤海商品交易所焦煤出现</w:t>
      </w:r>
      <w:r w:rsidRPr="000260C3">
        <w:rPr>
          <w:rFonts w:ascii="仿宋_GB2312" w:eastAsia="仿宋_GB2312" w:hAnsi="仿宋"/>
          <w:sz w:val="24"/>
          <w:szCs w:val="24"/>
        </w:rPr>
        <w:t>价格回</w:t>
      </w:r>
      <w:r w:rsidRPr="000260C3">
        <w:rPr>
          <w:rFonts w:ascii="仿宋_GB2312" w:eastAsia="仿宋_GB2312" w:hAnsi="仿宋" w:hint="eastAsia"/>
          <w:sz w:val="24"/>
          <w:szCs w:val="24"/>
        </w:rPr>
        <w:t>落收于</w:t>
      </w:r>
      <w:r>
        <w:rPr>
          <w:rFonts w:ascii="仿宋_GB2312" w:eastAsia="仿宋_GB2312" w:hAnsi="仿宋"/>
          <w:sz w:val="24"/>
          <w:szCs w:val="24"/>
        </w:rPr>
        <w:t>580</w:t>
      </w:r>
      <w:r w:rsidRPr="000260C3">
        <w:rPr>
          <w:rFonts w:ascii="仿宋_GB2312" w:eastAsia="仿宋_GB2312" w:hAnsi="仿宋" w:hint="eastAsia"/>
          <w:sz w:val="24"/>
          <w:szCs w:val="24"/>
        </w:rPr>
        <w:t>元，交易量与订货量稳定。</w:t>
      </w:r>
    </w:p>
    <w:p w:rsidR="00DC1FB1" w:rsidRPr="0085769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尽管自2013年年底以来，焦煤行业一直处于去库存化过程中，但这并没有令焦煤期货在2014年出现大幅反弹行情。数据显示，北方四港焦煤库存于2013年12月20日创下842万吨的历史最高纪录，在高库存的打压下，自2013年年</w:t>
      </w:r>
      <w:r w:rsidRPr="00857693">
        <w:rPr>
          <w:rFonts w:ascii="仿宋_GB2312" w:eastAsia="仿宋_GB2312" w:hAnsi="仿宋" w:hint="eastAsia"/>
          <w:sz w:val="24"/>
          <w:szCs w:val="24"/>
        </w:rPr>
        <w:lastRenderedPageBreak/>
        <w:t>底至2014年年初，焦煤期货出现大跌行情。随即焦煤市场开始了主动去库存化，2014年年底北方四港焦煤库存只有330万吨左右水平。但是焦煤期货却依然以振荡下行为主，其主要原因是焦煤企业在煤焦钢产业链中话语权较弱，下游市场去库存较为缓慢，煤企失去了提价的“土壤”。</w:t>
      </w:r>
    </w:p>
    <w:p w:rsidR="00DC1FB1" w:rsidRPr="0085769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近期，随着气温逐渐下降，北方钢厂进入检修期，高炉开工率也在下滑，钢厂对原材料需求出现季节性回落，这对上游焦煤和焦炭市场都带来一定打压。数据显示，唐山高炉开工率由前期的96.10%下调至88.93%，且钢厂和焦化企业焦煤库存充足，这意味着下游备货积极性难以提高。受此影响，焦煤主产区山西焦煤价格延续跌势，忻州、孝义等地方煤矿部分煤种价格下调10—30元/吨；柳林个别洗煤厂下调主焦出厂价格，其中A9.5S0.65G80报价730元/吨，A10S1.3G80报价600元/吨，均下调20元/吨。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未来钢材的需求依然取决于我国房地产市场的发展，但种种迹象表明我国房地产行业高速增长期已过，未来低增长或成常态化。数据显示，我国房地产开发投资完成额同比已由2011年的38%左右水平降至10.50%，鉴于我国逐步调低GDP增速以及经济增长对房地产行业的依赖程度，预计我国房地产开发投资完成额增速将会低于10%，而这一情况在最近15年内只有2008年金融危机时才短暂出现过。除此之外，2014年我国房屋新开工面积一直处于负增长格局中。因此，未来钢材需求难以快速增长，这将直接压制上游焦煤等原材料的需求。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60C3">
        <w:rPr>
          <w:rFonts w:ascii="仿宋_GB2312" w:eastAsia="仿宋_GB2312" w:hAnsi="仿宋" w:hint="eastAsia"/>
          <w:sz w:val="24"/>
          <w:szCs w:val="24"/>
        </w:rPr>
        <w:t>大商所150</w:t>
      </w:r>
      <w:r w:rsidRPr="000260C3">
        <w:rPr>
          <w:rFonts w:ascii="仿宋_GB2312" w:eastAsia="仿宋_GB2312" w:hAnsi="仿宋"/>
          <w:sz w:val="24"/>
          <w:szCs w:val="24"/>
        </w:rPr>
        <w:t>5</w:t>
      </w:r>
      <w:r w:rsidRPr="000260C3">
        <w:rPr>
          <w:rFonts w:ascii="仿宋_GB2312" w:eastAsia="仿宋_GB2312" w:hAnsi="仿宋" w:hint="eastAsia"/>
          <w:sz w:val="24"/>
          <w:szCs w:val="24"/>
        </w:rPr>
        <w:t>合约价格与渤商所焦煤现价有一定价差，投资者可寻找跨市套利机会。个人投资者顺势而为，及时止盈止损。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rPr>
          <w:rFonts w:ascii="仿宋_GB2312" w:eastAsia="仿宋_GB2312"/>
          <w:b/>
          <w:sz w:val="24"/>
        </w:rPr>
      </w:pPr>
      <w:r w:rsidRPr="000260C3">
        <w:rPr>
          <w:rFonts w:ascii="仿宋_GB2312" w:eastAsia="仿宋_GB2312" w:hint="eastAsia"/>
          <w:b/>
          <w:sz w:val="24"/>
        </w:rPr>
        <w:t>焦炭：</w:t>
      </w:r>
      <w:r>
        <w:rPr>
          <w:rFonts w:ascii="仿宋_GB2312" w:eastAsia="仿宋_GB2312" w:hint="eastAsia"/>
          <w:b/>
          <w:sz w:val="24"/>
        </w:rPr>
        <w:t>上涨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0260C3">
        <w:rPr>
          <w:rFonts w:ascii="仿宋_GB2312" w:eastAsia="仿宋_GB2312" w:hAnsi="仿宋" w:hint="eastAsia"/>
          <w:sz w:val="24"/>
          <w:szCs w:val="24"/>
        </w:rPr>
        <w:t>本周焦煤价格相对上周</w:t>
      </w:r>
      <w:r>
        <w:rPr>
          <w:rFonts w:ascii="仿宋_GB2312" w:eastAsia="仿宋_GB2312" w:hAnsi="仿宋" w:hint="eastAsia"/>
          <w:sz w:val="24"/>
          <w:szCs w:val="24"/>
        </w:rPr>
        <w:t>上涨</w:t>
      </w:r>
      <w:r w:rsidRPr="000260C3">
        <w:rPr>
          <w:rFonts w:ascii="仿宋_GB2312" w:eastAsia="仿宋_GB2312" w:hAnsi="仿宋" w:hint="eastAsia"/>
          <w:sz w:val="24"/>
          <w:szCs w:val="24"/>
        </w:rPr>
        <w:t>。周五渤海商品交易所焦炭小幅</w:t>
      </w:r>
      <w:r>
        <w:rPr>
          <w:rFonts w:ascii="仿宋_GB2312" w:eastAsia="仿宋_GB2312" w:hAnsi="仿宋" w:hint="eastAsia"/>
          <w:sz w:val="24"/>
          <w:szCs w:val="24"/>
        </w:rPr>
        <w:t>上涨</w:t>
      </w:r>
      <w:r w:rsidRPr="000260C3">
        <w:rPr>
          <w:rFonts w:ascii="仿宋_GB2312" w:eastAsia="仿宋_GB2312" w:hAnsi="仿宋" w:hint="eastAsia"/>
          <w:sz w:val="24"/>
          <w:szCs w:val="24"/>
        </w:rPr>
        <w:t>收于</w:t>
      </w:r>
      <w:r w:rsidRPr="000260C3">
        <w:rPr>
          <w:rFonts w:ascii="仿宋_GB2312" w:eastAsia="仿宋_GB2312" w:hAnsi="仿宋"/>
          <w:sz w:val="24"/>
          <w:szCs w:val="24"/>
        </w:rPr>
        <w:t>10</w:t>
      </w:r>
      <w:r>
        <w:rPr>
          <w:rFonts w:ascii="仿宋_GB2312" w:eastAsia="仿宋_GB2312" w:hAnsi="仿宋"/>
          <w:sz w:val="24"/>
          <w:szCs w:val="24"/>
        </w:rPr>
        <w:t>10</w:t>
      </w:r>
      <w:r w:rsidRPr="000260C3">
        <w:rPr>
          <w:rFonts w:ascii="仿宋_GB2312" w:eastAsia="仿宋_GB2312" w:hAnsi="仿宋" w:hint="eastAsia"/>
          <w:sz w:val="24"/>
          <w:szCs w:val="24"/>
        </w:rPr>
        <w:t>元，交易量与订货量稳定。</w:t>
      </w:r>
    </w:p>
    <w:p w:rsidR="00DC1FB1" w:rsidRPr="0085769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去年下半年，北方三港(天津、日照、连云港焦炭库存累计下降了48%，目前仍维持在低水平运行。同时，焦化厂库存也出现较大幅度回落，累计降幅约57%。但我们认为，中上游库存下滑并不足以成为价格企稳的先决条件，有四点理由：一是库存下滑纯属周期性效应发挥作用。2012、2013年下半年，焦炭库存同样出现较大下滑，累计幅度分别为40%和73%。二是库存是为了维持生产的连续性和稳定性而出现的，在经营过程中扮演着避免生产与销售脱节的缓冲作</w:t>
      </w:r>
      <w:r w:rsidRPr="00857693">
        <w:rPr>
          <w:rFonts w:ascii="仿宋_GB2312" w:eastAsia="仿宋_GB2312" w:hAnsi="仿宋" w:hint="eastAsia"/>
          <w:sz w:val="24"/>
          <w:szCs w:val="24"/>
        </w:rPr>
        <w:lastRenderedPageBreak/>
        <w:t>用，其本质是随需求变化而变化的，并无衡量库存高低的绝对标准。三是在价格下跌过程中，生产企业库存管理也变得更为精细，以降低风险，适应新的供需形势。四是港口库存下滑主要源自出口回升，国内需求并无好转。</w:t>
      </w:r>
    </w:p>
    <w:p w:rsidR="00DC1FB1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下游钢厂焦炭折算库存可分为两部分，一是下游钢厂原料(焦炭)库存，二是钢厂产成品折算库存。在焦炭价格下跌的过程中，钢厂按需采购导致焦炭库存可用周期较短，这是情理之中的事情。根据我的钢铁数据，去年下半年钢厂焦炭库存量持续偏低，说明并未出现集中性补库存行为。但从产成品折算库存看，焦炭市场去库存并不顺利。数据显示，去年钢铁企业自身产成品库存出现了较大幅度的回升，截至去年年底，重点钢铁企业库存攀升至1364万吨，维持在最近5年的高位水平。这说明部分焦炭转化成钢厂的产成品折算库存。</w:t>
      </w:r>
    </w:p>
    <w:p w:rsidR="00DC1FB1" w:rsidRPr="000260C3" w:rsidRDefault="00DC1FB1" w:rsidP="00DC1FB1">
      <w:pPr>
        <w:tabs>
          <w:tab w:val="left" w:pos="7088"/>
        </w:tabs>
        <w:spacing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857693">
        <w:rPr>
          <w:rFonts w:ascii="仿宋_GB2312" w:eastAsia="仿宋_GB2312" w:hAnsi="仿宋" w:hint="eastAsia"/>
          <w:sz w:val="24"/>
          <w:szCs w:val="24"/>
        </w:rPr>
        <w:t>沿着产业链推导，去年以库存形式提供的焦炭供给在转化为钢材产品的同时，还有一部分最终以终端市场的高库存形式存在。以房地产市场为例，去年整体市场销售不佳，行业库存持续上升，全年商品房待销售面积同比增长30%以上，绝对量创历史新高。根据这部分终端产品折算出焦炭库存当量，可以推测出，中上游市场焦炭库存在不断向终端行业转移。从这个角度看，由于去年下游终端(房地产等)库存高企，这些环节去库存进展滞后于中上游市场，将会对新年度的焦炭需求产生负面影响。</w:t>
      </w:r>
    </w:p>
    <w:p w:rsidR="00DC1FB1" w:rsidRDefault="00DC1FB1" w:rsidP="00DC1FB1">
      <w:pPr>
        <w:pStyle w:val="17"/>
        <w:tabs>
          <w:tab w:val="left" w:pos="7088"/>
        </w:tabs>
        <w:spacing w:line="360" w:lineRule="auto"/>
        <w:ind w:firstLine="480"/>
        <w:rPr>
          <w:rFonts w:ascii="仿宋_GB2312" w:eastAsia="仿宋_GB2312" w:hAnsi="仿宋"/>
          <w:color w:val="000000"/>
        </w:rPr>
      </w:pPr>
      <w:r w:rsidRPr="000260C3">
        <w:rPr>
          <w:rFonts w:ascii="仿宋_GB2312" w:eastAsia="仿宋_GB2312" w:hAnsi="仿宋" w:hint="eastAsia"/>
          <w:sz w:val="24"/>
          <w:szCs w:val="24"/>
        </w:rPr>
        <w:t>大商所</w:t>
      </w:r>
      <w:r w:rsidRPr="000260C3">
        <w:rPr>
          <w:rFonts w:ascii="仿宋_GB2312" w:eastAsia="仿宋_GB2312" w:hAnsi="仿宋"/>
          <w:sz w:val="24"/>
          <w:szCs w:val="24"/>
        </w:rPr>
        <w:t>1505</w:t>
      </w:r>
      <w:r w:rsidRPr="000260C3">
        <w:rPr>
          <w:rFonts w:ascii="仿宋_GB2312" w:eastAsia="仿宋_GB2312" w:hAnsi="仿宋" w:hint="eastAsia"/>
          <w:sz w:val="24"/>
          <w:szCs w:val="24"/>
        </w:rPr>
        <w:t>合约价格与渤商所焦煤现价有11元</w:t>
      </w:r>
      <w:r w:rsidRPr="000260C3">
        <w:rPr>
          <w:rFonts w:ascii="仿宋_GB2312" w:eastAsia="仿宋_GB2312" w:hAnsi="仿宋"/>
          <w:sz w:val="24"/>
          <w:szCs w:val="24"/>
        </w:rPr>
        <w:t>左右的</w:t>
      </w:r>
      <w:r w:rsidRPr="000260C3">
        <w:rPr>
          <w:rFonts w:ascii="仿宋_GB2312" w:eastAsia="仿宋_GB2312" w:hAnsi="仿宋" w:hint="eastAsia"/>
          <w:sz w:val="24"/>
          <w:szCs w:val="24"/>
        </w:rPr>
        <w:t>价差，投资者可寻找跨市套利机会。个人投资者顺势而为，及时止盈止损。</w:t>
      </w:r>
    </w:p>
    <w:p w:rsidR="00EC06F8" w:rsidRPr="00EC06F8" w:rsidRDefault="00D945F3" w:rsidP="00EC06F8">
      <w:pPr>
        <w:pStyle w:val="10"/>
        <w:tabs>
          <w:tab w:val="left" w:pos="7088"/>
        </w:tabs>
        <w:spacing w:line="360" w:lineRule="auto"/>
        <w:ind w:firstLineChars="0" w:firstLine="0"/>
        <w:rPr>
          <w:rFonts w:ascii="仿宋_GB2312" w:eastAsia="仿宋_GB2312" w:hint="eastAsia"/>
          <w:b/>
          <w:sz w:val="24"/>
        </w:rPr>
      </w:pPr>
      <w:r>
        <w:rPr>
          <w:rFonts w:hAnsi="仿宋_GB2312"/>
          <w:b/>
          <w:bCs/>
          <w:sz w:val="36"/>
          <w:szCs w:val="36"/>
        </w:rPr>
        <w:br w:type="page"/>
      </w:r>
      <w:r w:rsidR="00EC06F8">
        <w:rPr>
          <w:rFonts w:hAnsi="仿宋_GB2312"/>
          <w:b/>
          <w:bCs/>
          <w:sz w:val="36"/>
          <w:szCs w:val="36"/>
        </w:rPr>
        <w:lastRenderedPageBreak/>
        <w:t>【</w:t>
      </w:r>
      <w:r w:rsidR="00EC06F8">
        <w:rPr>
          <w:rFonts w:hAnsi="仿宋_GB2312" w:hint="eastAsia"/>
          <w:b/>
          <w:bCs/>
          <w:sz w:val="36"/>
          <w:szCs w:val="36"/>
        </w:rPr>
        <w:t>农林</w:t>
      </w:r>
      <w:r w:rsidR="00EC06F8">
        <w:rPr>
          <w:rFonts w:hAnsi="仿宋_GB2312"/>
          <w:b/>
          <w:bCs/>
          <w:sz w:val="36"/>
          <w:szCs w:val="36"/>
        </w:rPr>
        <w:t>板块】</w:t>
      </w:r>
    </w:p>
    <w:p w:rsidR="00EC06F8" w:rsidRDefault="00EC06F8" w:rsidP="00EC06F8">
      <w:pPr>
        <w:spacing w:beforeLines="100" w:before="312" w:line="360" w:lineRule="auto"/>
        <w:outlineLvl w:val="0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黄连(CM0012)</w:t>
      </w:r>
    </w:p>
    <w:p w:rsidR="00EC06F8" w:rsidRDefault="00EC06F8" w:rsidP="00EC06F8">
      <w:pPr>
        <w:spacing w:beforeLines="100" w:before="312" w:line="360" w:lineRule="auto"/>
        <w:outlineLvl w:val="0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※行情回顾：</w:t>
      </w:r>
    </w:p>
    <w:p w:rsidR="00EC06F8" w:rsidRDefault="00EC06F8" w:rsidP="00EC06F8">
      <w:pPr>
        <w:spacing w:line="360" w:lineRule="auto"/>
        <w:ind w:firstLine="480"/>
        <w:rPr>
          <w:rFonts w:ascii="楷体" w:eastAsia="楷体" w:hAnsi="楷体" w:cs="宋体" w:hint="eastAsia"/>
          <w:b/>
          <w:sz w:val="28"/>
          <w:szCs w:val="28"/>
        </w:rPr>
      </w:pPr>
      <w:r>
        <w:rPr>
          <w:rFonts w:ascii="楷体" w:eastAsia="楷体" w:hAnsi="楷体" w:cs="宋体" w:hint="eastAsia"/>
          <w:b/>
          <w:sz w:val="28"/>
          <w:szCs w:val="28"/>
        </w:rPr>
        <w:t>本周黄连价格大涨，截止至本周五，黄连尾盘收价113.87元/公斤，较上周五的108.39元/公斤，上涨5.48元/公斤。截止至本周五，黄连交收情况如下：买方申报交收133866公斤，卖方申报交收0公斤，配对成功0公斤。</w:t>
      </w:r>
    </w:p>
    <w:p w:rsidR="00EC06F8" w:rsidRDefault="00EC06F8" w:rsidP="00EC06F8">
      <w:pPr>
        <w:spacing w:beforeLines="100" w:before="312" w:line="360" w:lineRule="auto"/>
        <w:outlineLvl w:val="0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※基本面分析：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产地：目前，我国的黄连产区主要分布于重庆石柱、湖北利川、四川省和云南省部分地区，陕西南部和贵州等地也有产出。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中药材经销市场：我国主要集中在安国、亳州、玉林、荷花池。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行情：黄连价格受产新持续影响，价格走低，再加上近几年的疲软行情，双重因素影响下，传统现货市场价格低迷。12月月底，有药企收购大货和外来药商采购，价格微浮，同时有外地货源回流产地，本地囤货商也在出货，抑制了价格的进一步上涨，但是黄连价格并未下降太多，实因该价位已经价低伤农。此后价格一直波动不大，2015年2月份价格基本与今年1月底价格上浮时相持平。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根据我们的市场调研，产新期黄连新品售价虽然较低，但是陈货价格一直较为稳定，且市场普遍反映，黄连产量不如往年同期。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黄连产量下降，但需求并未减少，冬季进入黄连用药旺季，由于感冒发热等气候变化引起的常见病症，黄连是比较常用的中药，而且孕妇、幼儿、肝肾病患者等部分特殊人群，相对于西药的使用，也会比较倾向于中药，黄连的需求一直在增加。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市场报价：小琼中药鸡爪连统货报价为88元/公斤；亳州市华申药业有限公司鸡爪连统货报价为105元/公斤；亳州市春源堂药材店110元/公斤；新泰市峰源中药材专业合作社鸡爪连统货报价为90元/公斤；湖南旭强药材公司80元/</w:t>
      </w:r>
      <w:r>
        <w:rPr>
          <w:rFonts w:ascii="宋体" w:hAnsi="宋体" w:hint="eastAsia"/>
          <w:sz w:val="24"/>
          <w:szCs w:val="24"/>
        </w:rPr>
        <w:lastRenderedPageBreak/>
        <w:t>公斤。</w:t>
      </w:r>
    </w:p>
    <w:p w:rsidR="00EC06F8" w:rsidRDefault="00EC06F8" w:rsidP="00EC06F8">
      <w:pPr>
        <w:spacing w:beforeLines="100" w:before="312" w:line="360" w:lineRule="auto"/>
        <w:outlineLvl w:val="0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※市场点评：</w:t>
      </w:r>
    </w:p>
    <w:p w:rsidR="00EC06F8" w:rsidRDefault="00EC06F8" w:rsidP="00EC06F8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电子交易市场价格大幅变动，建议企业投资者根据需求，提前订立合同，锁定商品价格。</w:t>
      </w:r>
    </w:p>
    <w:p w:rsidR="00EC06F8" w:rsidRDefault="00EC06F8" w:rsidP="00EC06F8">
      <w:pPr>
        <w:rPr>
          <w:rFonts w:ascii="Calibri" w:hAnsi="Calibri" w:hint="eastAsia"/>
          <w:szCs w:val="22"/>
        </w:rPr>
      </w:pPr>
    </w:p>
    <w:p w:rsidR="00EC06F8" w:rsidRDefault="00EC06F8" w:rsidP="00EC06F8"/>
    <w:p w:rsidR="007F3268" w:rsidRPr="00EC06F8" w:rsidRDefault="007F3268" w:rsidP="00967A40">
      <w:pPr>
        <w:spacing w:beforeLines="100" w:before="312" w:line="360" w:lineRule="auto"/>
        <w:outlineLvl w:val="0"/>
        <w:rPr>
          <w:rFonts w:ascii="仿宋_GB2312" w:eastAsia="仿宋_GB2312"/>
          <w:sz w:val="24"/>
          <w:szCs w:val="24"/>
        </w:rPr>
      </w:pPr>
    </w:p>
    <w:p w:rsidR="003308B2" w:rsidRPr="007F3268" w:rsidRDefault="003308B2" w:rsidP="007F3268">
      <w:pPr>
        <w:spacing w:beforeLines="100" w:before="312" w:line="360" w:lineRule="auto"/>
        <w:outlineLvl w:val="0"/>
        <w:rPr>
          <w:rFonts w:ascii="宋体" w:hAnsi="宋体" w:cs="宋体"/>
          <w:b/>
          <w:kern w:val="0"/>
          <w:sz w:val="24"/>
          <w:szCs w:val="24"/>
        </w:rPr>
      </w:pPr>
    </w:p>
    <w:p w:rsidR="003308B2" w:rsidRDefault="003308B2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Default="002E26F3" w:rsidP="003308B2">
      <w:pPr>
        <w:spacing w:beforeLines="100" w:before="312" w:line="360" w:lineRule="auto"/>
        <w:outlineLvl w:val="0"/>
        <w:rPr>
          <w:rFonts w:ascii="宋体" w:hAnsi="宋体" w:cs="宋体" w:hint="eastAsia"/>
          <w:b/>
          <w:kern w:val="0"/>
          <w:sz w:val="24"/>
          <w:szCs w:val="24"/>
        </w:rPr>
      </w:pPr>
    </w:p>
    <w:p w:rsidR="002E26F3" w:rsidRPr="003308B2" w:rsidRDefault="002E26F3" w:rsidP="003308B2">
      <w:pPr>
        <w:spacing w:beforeLines="100" w:before="312" w:line="360" w:lineRule="auto"/>
        <w:outlineLvl w:val="0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</w:p>
    <w:p w:rsidR="00961973" w:rsidRDefault="00D945F3">
      <w:pPr>
        <w:widowControl/>
        <w:spacing w:line="360" w:lineRule="auto"/>
        <w:ind w:firstLineChars="250" w:firstLine="60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lastRenderedPageBreak/>
        <w:t>免责声明：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买卖出价，投资者据此做出的任何投资决策与本公司和作者无关。</w:t>
      </w:r>
    </w:p>
    <w:p w:rsidR="00961973" w:rsidRDefault="00961973"/>
    <w:sectPr w:rsidR="00961973">
      <w:head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A7" w:rsidRDefault="00B01DA7">
      <w:r>
        <w:separator/>
      </w:r>
    </w:p>
  </w:endnote>
  <w:endnote w:type="continuationSeparator" w:id="0">
    <w:p w:rsidR="00B01DA7" w:rsidRDefault="00B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A7" w:rsidRDefault="00B01DA7">
      <w:r>
        <w:separator/>
      </w:r>
    </w:p>
  </w:footnote>
  <w:footnote w:type="continuationSeparator" w:id="0">
    <w:p w:rsidR="00B01DA7" w:rsidRDefault="00B0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73" w:rsidRDefault="009619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73"/>
    <w:rsid w:val="00010147"/>
    <w:rsid w:val="000E6BC4"/>
    <w:rsid w:val="0015746D"/>
    <w:rsid w:val="001A2326"/>
    <w:rsid w:val="001F7851"/>
    <w:rsid w:val="00210D3B"/>
    <w:rsid w:val="002B0D27"/>
    <w:rsid w:val="002B3A1E"/>
    <w:rsid w:val="002D4565"/>
    <w:rsid w:val="002E26F3"/>
    <w:rsid w:val="00304C77"/>
    <w:rsid w:val="003308B2"/>
    <w:rsid w:val="003C3878"/>
    <w:rsid w:val="003D0ACE"/>
    <w:rsid w:val="004243BA"/>
    <w:rsid w:val="004A2740"/>
    <w:rsid w:val="00501EE3"/>
    <w:rsid w:val="0052743C"/>
    <w:rsid w:val="005749A9"/>
    <w:rsid w:val="005778B4"/>
    <w:rsid w:val="00685356"/>
    <w:rsid w:val="00696459"/>
    <w:rsid w:val="006C6C3D"/>
    <w:rsid w:val="006E7402"/>
    <w:rsid w:val="0078714E"/>
    <w:rsid w:val="00791A0C"/>
    <w:rsid w:val="007C7048"/>
    <w:rsid w:val="007C7074"/>
    <w:rsid w:val="007F3268"/>
    <w:rsid w:val="00802EDF"/>
    <w:rsid w:val="00875B04"/>
    <w:rsid w:val="00914AF5"/>
    <w:rsid w:val="00950AAA"/>
    <w:rsid w:val="00961973"/>
    <w:rsid w:val="00967A40"/>
    <w:rsid w:val="009D1C72"/>
    <w:rsid w:val="009D72C2"/>
    <w:rsid w:val="00A25483"/>
    <w:rsid w:val="00A421A0"/>
    <w:rsid w:val="00A97113"/>
    <w:rsid w:val="00AB0CA6"/>
    <w:rsid w:val="00AE7847"/>
    <w:rsid w:val="00B01DA7"/>
    <w:rsid w:val="00BA0F07"/>
    <w:rsid w:val="00C059EA"/>
    <w:rsid w:val="00C52BAB"/>
    <w:rsid w:val="00C67919"/>
    <w:rsid w:val="00C871F7"/>
    <w:rsid w:val="00CB6733"/>
    <w:rsid w:val="00CE64A0"/>
    <w:rsid w:val="00D106A7"/>
    <w:rsid w:val="00D126B3"/>
    <w:rsid w:val="00D569E7"/>
    <w:rsid w:val="00D828D7"/>
    <w:rsid w:val="00D945F3"/>
    <w:rsid w:val="00DC0B2F"/>
    <w:rsid w:val="00DC1FB1"/>
    <w:rsid w:val="00DD3A73"/>
    <w:rsid w:val="00DE74E8"/>
    <w:rsid w:val="00E0562D"/>
    <w:rsid w:val="00EC06F8"/>
    <w:rsid w:val="00EF67E4"/>
    <w:rsid w:val="00F2153B"/>
    <w:rsid w:val="00F851BC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Hyperlink"/>
    <w:rPr>
      <w:rFonts w:ascii="ˎ̥" w:hAnsi="ˎ̥" w:hint="default"/>
      <w:color w:val="000000"/>
      <w:u w:val="none"/>
    </w:rPr>
  </w:style>
  <w:style w:type="paragraph" w:customStyle="1" w:styleId="11">
    <w:name w:val="列出段落11"/>
    <w:pPr>
      <w:ind w:firstLineChars="200" w:firstLine="420"/>
    </w:pPr>
    <w:rPr>
      <w:rFonts w:ascii="Calibri" w:hAnsi="Calibri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5">
    <w:name w:val="列出段落5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6">
    <w:name w:val="列出段落6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7">
    <w:name w:val="列出段落7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4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customStyle="1" w:styleId="8">
    <w:name w:val="列出段落8"/>
    <w:basedOn w:val="a"/>
    <w:uiPriority w:val="99"/>
    <w:rsid w:val="00F851BC"/>
    <w:pPr>
      <w:ind w:firstLineChars="200" w:firstLine="420"/>
    </w:pPr>
    <w:rPr>
      <w:rFonts w:ascii="Calibri" w:hAnsi="Calibri"/>
      <w:szCs w:val="22"/>
    </w:rPr>
  </w:style>
  <w:style w:type="paragraph" w:customStyle="1" w:styleId="9">
    <w:name w:val="列出段落9"/>
    <w:basedOn w:val="a"/>
    <w:uiPriority w:val="99"/>
    <w:rsid w:val="003D0ACE"/>
    <w:pPr>
      <w:ind w:firstLineChars="200" w:firstLine="420"/>
    </w:pPr>
    <w:rPr>
      <w:rFonts w:ascii="Calibri" w:hAnsi="Calibri"/>
      <w:szCs w:val="22"/>
    </w:rPr>
  </w:style>
  <w:style w:type="paragraph" w:customStyle="1" w:styleId="100">
    <w:name w:val="列出段落10"/>
    <w:basedOn w:val="a"/>
    <w:uiPriority w:val="99"/>
    <w:rsid w:val="00A97113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列出段落12"/>
    <w:basedOn w:val="a"/>
    <w:uiPriority w:val="99"/>
    <w:rsid w:val="00E0562D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qFormat/>
    <w:rsid w:val="00914AF5"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列出段落13"/>
    <w:basedOn w:val="a"/>
    <w:rsid w:val="00D828D7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列出段落14"/>
    <w:basedOn w:val="a"/>
    <w:rsid w:val="007F3268"/>
    <w:pPr>
      <w:ind w:firstLineChars="200" w:firstLine="420"/>
    </w:pPr>
    <w:rPr>
      <w:rFonts w:ascii="Calibri" w:hAnsi="Calibri"/>
      <w:szCs w:val="22"/>
    </w:rPr>
  </w:style>
  <w:style w:type="paragraph" w:customStyle="1" w:styleId="15">
    <w:name w:val="列出段落15"/>
    <w:basedOn w:val="a"/>
    <w:rsid w:val="00967A40"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列出段落16"/>
    <w:basedOn w:val="a"/>
    <w:rsid w:val="00F2153B"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列出段落17"/>
    <w:basedOn w:val="a"/>
    <w:rsid w:val="00DC1FB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【煤炭能源板块】</dc:title>
  <dc:creator>user</dc:creator>
  <cp:lastModifiedBy>DELL</cp:lastModifiedBy>
  <cp:revision>33</cp:revision>
  <dcterms:created xsi:type="dcterms:W3CDTF">2014-06-27T09:27:00Z</dcterms:created>
  <dcterms:modified xsi:type="dcterms:W3CDTF">2015-02-06T09:42:00Z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