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01" w:rsidRDefault="00932101" w:rsidP="00932101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605B4E" w:rsidRPr="00056351" w:rsidRDefault="00605B4E" w:rsidP="00605B4E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小幅下跌</w:t>
      </w:r>
    </w:p>
    <w:p w:rsidR="00605B4E" w:rsidRDefault="00605B4E" w:rsidP="00605B4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605B4E" w:rsidRPr="00D722C0" w:rsidRDefault="00605B4E" w:rsidP="00605B4E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小幅下跌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322</w:t>
      </w:r>
      <w:r w:rsidRPr="00D722C0">
        <w:rPr>
          <w:rFonts w:ascii="仿宋_GB2312" w:eastAsia="仿宋_GB2312" w:hint="eastAsia"/>
          <w:b/>
          <w:sz w:val="24"/>
          <w:szCs w:val="24"/>
        </w:rPr>
        <w:t>元/吨，</w:t>
      </w:r>
      <w:proofErr w:type="gramStart"/>
      <w:r w:rsidRPr="00D722C0">
        <w:rPr>
          <w:rFonts w:ascii="仿宋_GB2312" w:eastAsia="仿宋_GB2312" w:hint="eastAsia"/>
          <w:b/>
          <w:sz w:val="24"/>
          <w:szCs w:val="24"/>
        </w:rPr>
        <w:t>最</w:t>
      </w:r>
      <w:proofErr w:type="gramEnd"/>
      <w:r w:rsidRPr="00D722C0">
        <w:rPr>
          <w:rFonts w:ascii="仿宋_GB2312" w:eastAsia="仿宋_GB2312" w:hint="eastAsia"/>
          <w:b/>
          <w:sz w:val="24"/>
          <w:szCs w:val="24"/>
        </w:rPr>
        <w:t>高价</w:t>
      </w:r>
      <w:r>
        <w:rPr>
          <w:rFonts w:ascii="仿宋_GB2312" w:eastAsia="仿宋_GB2312" w:hint="eastAsia"/>
          <w:b/>
          <w:sz w:val="24"/>
          <w:szCs w:val="24"/>
        </w:rPr>
        <w:t>330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321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330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605B4E" w:rsidRDefault="00605B4E" w:rsidP="00605B4E">
      <w:pPr>
        <w:spacing w:beforeLines="100" w:before="312" w:line="360" w:lineRule="auto"/>
        <w:jc w:val="lef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980525">
        <w:rPr>
          <w:rFonts w:ascii="宋体" w:hAnsi="宋体" w:hint="eastAsia"/>
          <w:color w:val="000000"/>
          <w:sz w:val="24"/>
          <w:szCs w:val="24"/>
        </w:rPr>
        <w:t>9月</w:t>
      </w:r>
      <w:r>
        <w:rPr>
          <w:rFonts w:ascii="宋体" w:hAnsi="宋体" w:hint="eastAsia"/>
          <w:color w:val="000000"/>
          <w:sz w:val="24"/>
          <w:szCs w:val="24"/>
        </w:rPr>
        <w:t>17日（星期四</w:t>
      </w:r>
      <w:r w:rsidRPr="00980525">
        <w:rPr>
          <w:rFonts w:ascii="宋体" w:hAnsi="宋体" w:hint="eastAsia"/>
          <w:color w:val="000000"/>
          <w:sz w:val="24"/>
          <w:szCs w:val="24"/>
        </w:rPr>
        <w:t>）</w:t>
      </w:r>
      <w:r w:rsidRPr="00BF4211">
        <w:rPr>
          <w:rFonts w:ascii="宋体" w:hAnsi="宋体" w:hint="eastAsia"/>
          <w:color w:val="000000"/>
          <w:sz w:val="24"/>
          <w:szCs w:val="24"/>
        </w:rPr>
        <w:t>国内煤炭市场的低迷状态仍在持续着，煤炭生产企业的煤炭销量下滑态势依旧。与此同时，夏季用煤高峰已然过去，当前已经进入动力煤消费淡季，动力煤市场需求低迷的状况恐将恶化，煤炭价格仍将承压。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根据</w:t>
      </w:r>
      <w:proofErr w:type="gramStart"/>
      <w:r w:rsidRPr="00BF4211">
        <w:rPr>
          <w:rFonts w:ascii="宋体" w:hAnsi="宋体" w:hint="eastAsia"/>
          <w:color w:val="000000"/>
          <w:sz w:val="24"/>
          <w:szCs w:val="24"/>
        </w:rPr>
        <w:t>上市煤企的</w:t>
      </w:r>
      <w:proofErr w:type="gramEnd"/>
      <w:r w:rsidRPr="00BF4211">
        <w:rPr>
          <w:rFonts w:ascii="宋体" w:hAnsi="宋体" w:hint="eastAsia"/>
          <w:color w:val="000000"/>
          <w:sz w:val="24"/>
          <w:szCs w:val="24"/>
        </w:rPr>
        <w:t>公告显示，国内煤炭业的龙头企业神华、中煤的煤炭销量仍处于下滑通道。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数据显示，中国神华8月份煤炭销量为3530万吨，同比下降33.9%。今年前8个月，中国神华煤炭销售量累计为2.48亿吨，同比下降18.4%。中煤能源亦难逃销售量下滑的厄运，8月份商品煤销量1286万吨，同比下降8.7%。今年前8个月，中煤能源商品煤销量累计9066万吨，同比下降10.6%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今年以来，煤炭价格大幅下滑，煤炭销售骤减，导致不少煤炭企业深陷亏损</w:t>
      </w:r>
      <w:proofErr w:type="gramStart"/>
      <w:r w:rsidRPr="00BF4211">
        <w:rPr>
          <w:rFonts w:ascii="宋体" w:hAnsi="宋体" w:hint="eastAsia"/>
          <w:color w:val="000000"/>
          <w:sz w:val="24"/>
          <w:szCs w:val="24"/>
        </w:rPr>
        <w:t>亦或</w:t>
      </w:r>
      <w:proofErr w:type="gramEnd"/>
      <w:r w:rsidRPr="00BF4211">
        <w:rPr>
          <w:rFonts w:ascii="宋体" w:hAnsi="宋体" w:hint="eastAsia"/>
          <w:color w:val="000000"/>
          <w:sz w:val="24"/>
          <w:szCs w:val="24"/>
        </w:rPr>
        <w:t>是在亏损边缘徘徊。值得注意的是，</w:t>
      </w:r>
      <w:proofErr w:type="gramStart"/>
      <w:r w:rsidRPr="00BF4211">
        <w:rPr>
          <w:rFonts w:ascii="宋体" w:hAnsi="宋体" w:hint="eastAsia"/>
          <w:color w:val="000000"/>
          <w:sz w:val="24"/>
          <w:szCs w:val="24"/>
        </w:rPr>
        <w:t>煤企生存</w:t>
      </w:r>
      <w:proofErr w:type="gramEnd"/>
      <w:r w:rsidRPr="00BF4211">
        <w:rPr>
          <w:rFonts w:ascii="宋体" w:hAnsi="宋体" w:hint="eastAsia"/>
          <w:color w:val="000000"/>
          <w:sz w:val="24"/>
          <w:szCs w:val="24"/>
        </w:rPr>
        <w:t>状况恶化早已不是一朝一夕，据悉，自2012年下半年以来，国内煤炭业始终处于下行状态，如今，整个行业都较为困难。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截至9月16日当周，秦皇岛环渤海5500大卡动力煤价格为400元/吨，较前一周下降2元/吨，较今年年初则已经下滑了23%。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分析人士指出，尽管大型煤炭企业9月份的价格政策对近期动力煤价格起到一定的稳定作用，但值得注意的是，目前已经进入了电力消费淡季，随着天气逐</w:t>
      </w:r>
      <w:r w:rsidRPr="00BF4211">
        <w:rPr>
          <w:rFonts w:ascii="宋体" w:hAnsi="宋体" w:hint="eastAsia"/>
          <w:color w:val="000000"/>
          <w:sz w:val="24"/>
          <w:szCs w:val="24"/>
        </w:rPr>
        <w:lastRenderedPageBreak/>
        <w:t>渐转凉，下游用户的用电量将逐步减少。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不断降低的电煤日耗水平、不断走高的电煤库存都将制约电力企业的采购积极性。同时，今年以来水电的增长也不容忽视。据了解，目前南方地区降雨量增加，水电仍将继续占领部分火电市场。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另一方面，煤炭下游的钢铁、水泥等行业均面临不同程度的困难，影响了煤炭需求。业内预计，动力煤短期需求低迷的状况或将恶化，煤炭价格将继续承压。</w:t>
      </w:r>
    </w:p>
    <w:p w:rsidR="00605B4E" w:rsidRPr="00BF4211" w:rsidRDefault="00605B4E" w:rsidP="00605B4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而从中长期来看，煤炭市场也将面临不小的压力，</w:t>
      </w:r>
      <w:proofErr w:type="gramStart"/>
      <w:r w:rsidRPr="00BF4211">
        <w:rPr>
          <w:rFonts w:ascii="宋体" w:hAnsi="宋体" w:hint="eastAsia"/>
          <w:color w:val="000000"/>
          <w:sz w:val="24"/>
          <w:szCs w:val="24"/>
        </w:rPr>
        <w:t>国家发改委</w:t>
      </w:r>
      <w:proofErr w:type="gramEnd"/>
      <w:r w:rsidRPr="00BF4211">
        <w:rPr>
          <w:rFonts w:ascii="宋体" w:hAnsi="宋体" w:hint="eastAsia"/>
          <w:color w:val="000000"/>
          <w:sz w:val="24"/>
          <w:szCs w:val="24"/>
        </w:rPr>
        <w:t>能源研究所能源经济与发展战略研究中心副主任姜鑫民日前指出，“十三五”将把控制能源消费总量作为重要任务，特别是煤炭消费，其比重将从66%降至60%以下。</w:t>
      </w:r>
    </w:p>
    <w:p w:rsidR="00605B4E" w:rsidRPr="00501CC4" w:rsidRDefault="00605B4E" w:rsidP="00605B4E">
      <w:pPr>
        <w:spacing w:beforeLines="50" w:before="156" w:line="360" w:lineRule="auto"/>
        <w:ind w:firstLineChars="200" w:firstLine="480"/>
        <w:jc w:val="left"/>
        <w:rPr>
          <w:rFonts w:eastAsia="仿宋_GB2312"/>
          <w:sz w:val="28"/>
          <w:szCs w:val="28"/>
        </w:rPr>
      </w:pPr>
      <w:r w:rsidRPr="00BF4211">
        <w:rPr>
          <w:rFonts w:ascii="宋体" w:hAnsi="宋体" w:hint="eastAsia"/>
          <w:color w:val="000000"/>
          <w:sz w:val="24"/>
          <w:szCs w:val="24"/>
        </w:rPr>
        <w:t>据悉，在煤炭消耗上，预计2020年的煤炭消费总量39亿吨左右。而“十三五”以后，新增电力需求基本依靠非煤发电机组的增长来满足。在环保的要求下，未来煤炭需求的增长将逐渐放缓，部分区域不排除出现负增长的可能。</w:t>
      </w:r>
      <w:r w:rsidRPr="00501CC4">
        <w:rPr>
          <w:rFonts w:hint="eastAsia"/>
          <w:color w:val="000000"/>
          <w:sz w:val="18"/>
          <w:szCs w:val="18"/>
        </w:rPr>
        <w:t>单位</w:t>
      </w:r>
      <w:r w:rsidRPr="00501CC4">
        <w:rPr>
          <w:color w:val="000000"/>
          <w:sz w:val="18"/>
          <w:szCs w:val="18"/>
        </w:rPr>
        <w:t>：</w:t>
      </w:r>
      <w:r w:rsidRPr="00501CC4">
        <w:rPr>
          <w:rFonts w:hint="eastAsia"/>
          <w:color w:val="000000"/>
          <w:sz w:val="18"/>
          <w:szCs w:val="18"/>
        </w:rPr>
        <w:t>元</w:t>
      </w:r>
      <w:r w:rsidRPr="00501CC4">
        <w:rPr>
          <w:rFonts w:hint="eastAsia"/>
          <w:color w:val="000000"/>
          <w:sz w:val="18"/>
          <w:szCs w:val="18"/>
        </w:rPr>
        <w:t>/</w:t>
      </w:r>
      <w:r w:rsidRPr="00501CC4">
        <w:rPr>
          <w:rFonts w:hint="eastAsia"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605B4E" w:rsidRPr="00501CC4" w:rsidTr="00A3403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E" w:rsidRPr="00501CC4" w:rsidRDefault="00605B4E" w:rsidP="00A340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2015-09-17</w:t>
            </w:r>
          </w:p>
        </w:tc>
      </w:tr>
      <w:tr w:rsidR="00605B4E" w:rsidRPr="00501CC4" w:rsidTr="00A3403B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E" w:rsidRPr="00501CC4" w:rsidRDefault="00605B4E" w:rsidP="00A340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/>
                <w:szCs w:val="21"/>
              </w:rPr>
              <w:t>BSC</w:t>
            </w:r>
            <w:r w:rsidRPr="00501CC4">
              <w:rPr>
                <w:rFonts w:ascii="宋体" w:hAnsi="宋体" w:hint="eastAsia"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5B4E" w:rsidRPr="00501CC4" w:rsidTr="00A3403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E" w:rsidRPr="00501CC4" w:rsidRDefault="00605B4E" w:rsidP="00A340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</w:tr>
      <w:tr w:rsidR="00605B4E" w:rsidRPr="00501CC4" w:rsidTr="00A3403B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E" w:rsidRPr="00501CC4" w:rsidRDefault="00605B4E" w:rsidP="00A3403B">
            <w:pPr>
              <w:jc w:val="center"/>
              <w:rPr>
                <w:rFonts w:ascii="宋体" w:hAns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379.6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376.2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376.8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Pr="00501CC4" w:rsidRDefault="00605B4E" w:rsidP="00A3403B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377.8</w:t>
            </w:r>
          </w:p>
        </w:tc>
      </w:tr>
      <w:tr w:rsidR="00605B4E" w:rsidRPr="00501CC4" w:rsidTr="00A3403B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B4E" w:rsidRPr="00501CC4" w:rsidRDefault="00605B4E" w:rsidP="00A340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库存</w:t>
            </w:r>
            <w:r w:rsidRPr="00501CC4">
              <w:rPr>
                <w:rFonts w:ascii="宋体" w:hAnsi="宋体"/>
                <w:szCs w:val="21"/>
              </w:rPr>
              <w:t>(</w:t>
            </w:r>
            <w:r w:rsidRPr="00501CC4">
              <w:rPr>
                <w:rFonts w:ascii="宋体" w:hAnsi="宋体" w:hint="eastAsia"/>
                <w:szCs w:val="21"/>
              </w:rPr>
              <w:t>万吨</w:t>
            </w:r>
            <w:r w:rsidRPr="00501C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615.5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4E" w:rsidRDefault="00605B4E" w:rsidP="00A3403B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609.5</w:t>
            </w:r>
          </w:p>
        </w:tc>
      </w:tr>
    </w:tbl>
    <w:p w:rsidR="00605B4E" w:rsidRDefault="00605B4E" w:rsidP="00605B4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605B4E" w:rsidRPr="004D32F5" w:rsidRDefault="00605B4E" w:rsidP="00605B4E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32F5">
        <w:rPr>
          <w:rFonts w:ascii="宋体" w:hAnsi="宋体" w:hint="eastAsia"/>
          <w:sz w:val="24"/>
          <w:szCs w:val="24"/>
        </w:rPr>
        <w:t>今日</w:t>
      </w:r>
      <w:r w:rsidRPr="004D32F5">
        <w:rPr>
          <w:rFonts w:ascii="宋体" w:hAnsi="宋体"/>
          <w:sz w:val="24"/>
          <w:szCs w:val="24"/>
        </w:rPr>
        <w:t>动力煤</w:t>
      </w:r>
      <w:r w:rsidRPr="004D32F5">
        <w:rPr>
          <w:rFonts w:ascii="宋体" w:hAnsi="宋体" w:hint="eastAsia"/>
          <w:sz w:val="24"/>
          <w:szCs w:val="24"/>
        </w:rPr>
        <w:t>呈现</w:t>
      </w:r>
      <w:r>
        <w:rPr>
          <w:rFonts w:ascii="宋体" w:hAnsi="宋体" w:hint="eastAsia"/>
          <w:sz w:val="24"/>
          <w:szCs w:val="24"/>
        </w:rPr>
        <w:t>小幅下跌</w:t>
      </w:r>
      <w:r w:rsidRPr="004D32F5">
        <w:rPr>
          <w:rFonts w:ascii="宋体" w:hAnsi="宋体" w:hint="eastAsia"/>
          <w:sz w:val="24"/>
          <w:szCs w:val="24"/>
        </w:rPr>
        <w:t>。</w:t>
      </w:r>
      <w:proofErr w:type="gramStart"/>
      <w:r w:rsidRPr="004D32F5">
        <w:rPr>
          <w:rFonts w:ascii="宋体" w:hAnsi="宋体" w:hint="eastAsia"/>
          <w:sz w:val="24"/>
          <w:szCs w:val="24"/>
        </w:rPr>
        <w:t>渤</w:t>
      </w:r>
      <w:proofErr w:type="gramEnd"/>
      <w:r w:rsidRPr="004D32F5">
        <w:rPr>
          <w:rFonts w:ascii="宋体" w:hAnsi="宋体" w:hint="eastAsia"/>
          <w:sz w:val="24"/>
          <w:szCs w:val="24"/>
        </w:rPr>
        <w:t>商所动力煤今日报收</w:t>
      </w:r>
      <w:r>
        <w:rPr>
          <w:rFonts w:ascii="宋体" w:hAnsi="宋体" w:hint="eastAsia"/>
          <w:sz w:val="24"/>
          <w:szCs w:val="24"/>
        </w:rPr>
        <w:t>330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吨，均价</w:t>
      </w:r>
      <w:r>
        <w:rPr>
          <w:rFonts w:ascii="宋体" w:hAnsi="宋体" w:hint="eastAsia"/>
          <w:sz w:val="24"/>
          <w:szCs w:val="24"/>
        </w:rPr>
        <w:t>326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</w:t>
      </w:r>
      <w:r w:rsidRPr="004D32F5">
        <w:rPr>
          <w:rFonts w:ascii="宋体" w:hAnsi="宋体"/>
          <w:sz w:val="24"/>
          <w:szCs w:val="24"/>
        </w:rPr>
        <w:t>。</w:t>
      </w:r>
      <w:r w:rsidRPr="004D32F5">
        <w:rPr>
          <w:rFonts w:ascii="宋体" w:hAnsi="宋体" w:hint="eastAsia"/>
          <w:sz w:val="24"/>
          <w:szCs w:val="24"/>
        </w:rPr>
        <w:t>现渤海盘面动力煤价格高于港口煤炭成交价格，与期货价格价差</w:t>
      </w:r>
      <w:r>
        <w:rPr>
          <w:rFonts w:ascii="宋体" w:hAnsi="宋体" w:hint="eastAsia"/>
          <w:sz w:val="24"/>
          <w:szCs w:val="24"/>
        </w:rPr>
        <w:t>51.8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吨，建议期现套利谨慎操作，注意及时止盈止损。</w:t>
      </w:r>
    </w:p>
    <w:p w:rsidR="00932101" w:rsidRPr="00605B4E" w:rsidRDefault="00932101" w:rsidP="009332E5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32101" w:rsidRDefault="00932101" w:rsidP="009332E5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141C69" w:rsidRDefault="00141C69" w:rsidP="009332E5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bookmarkStart w:id="0" w:name="_GoBack"/>
      <w:bookmarkEnd w:id="0"/>
    </w:p>
    <w:p w:rsidR="00B41B0F" w:rsidRDefault="00B41B0F" w:rsidP="00B41B0F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lastRenderedPageBreak/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B41B0F" w:rsidRPr="006F613E" w:rsidRDefault="00B41B0F" w:rsidP="00B41B0F">
      <w:pPr>
        <w:pStyle w:val="a8"/>
        <w:numPr>
          <w:ilvl w:val="0"/>
          <w:numId w:val="27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6F613E">
        <w:rPr>
          <w:rFonts w:ascii="宋体" w:hAnsi="宋体" w:hint="eastAsia"/>
          <w:b/>
          <w:color w:val="000000" w:themeColor="text1"/>
          <w:sz w:val="28"/>
          <w:szCs w:val="28"/>
        </w:rPr>
        <w:t>9月17日</w:t>
      </w:r>
      <w:proofErr w:type="gramStart"/>
      <w:r w:rsidRPr="006F613E">
        <w:rPr>
          <w:rFonts w:ascii="宋体" w:hAnsi="宋体" w:hint="eastAsia"/>
          <w:b/>
          <w:color w:val="000000" w:themeColor="text1"/>
          <w:sz w:val="28"/>
          <w:szCs w:val="28"/>
        </w:rPr>
        <w:t>竞价指数</w:t>
      </w:r>
      <w:proofErr w:type="gramEnd"/>
      <w:r w:rsidRPr="006F613E">
        <w:rPr>
          <w:rFonts w:ascii="宋体" w:hAnsi="宋体" w:hint="eastAsia"/>
          <w:b/>
          <w:color w:val="000000" w:themeColor="text1"/>
          <w:sz w:val="28"/>
          <w:szCs w:val="28"/>
        </w:rPr>
        <w:t>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B41B0F" w:rsidRPr="00AB630F" w:rsidTr="00A3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D50A3">
              <w:rPr>
                <w:rFonts w:ascii="宋体" w:hAnsi="宋体" w:hint="eastAsia"/>
                <w:sz w:val="24"/>
                <w:szCs w:val="24"/>
              </w:rPr>
              <w:t>竞价指数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B41B0F" w:rsidRPr="00AB630F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5F3387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F3387">
              <w:rPr>
                <w:rFonts w:hint="eastAsia"/>
                <w:color w:val="000000"/>
                <w:sz w:val="24"/>
              </w:rPr>
              <w:t>598.06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5F3387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5F3387">
              <w:rPr>
                <w:rFonts w:hint="eastAsia"/>
                <w:color w:val="FF0000"/>
                <w:sz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5F3387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5F3387">
              <w:rPr>
                <w:rFonts w:hint="eastAsia"/>
                <w:color w:val="FF0000"/>
                <w:sz w:val="24"/>
              </w:rPr>
              <w:t>2.86%</w:t>
            </w:r>
          </w:p>
        </w:tc>
      </w:tr>
      <w:tr w:rsidR="00B41B0F" w:rsidRPr="00AB630F" w:rsidTr="00A3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0F" w:rsidRPr="00877B68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77B68">
              <w:rPr>
                <w:rFonts w:hint="eastAsia"/>
                <w:color w:val="000000"/>
                <w:sz w:val="24"/>
              </w:rPr>
              <w:t>863.84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0F" w:rsidRPr="0038671F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38671F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1B0F" w:rsidRPr="0038671F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38671F">
              <w:rPr>
                <w:rFonts w:hint="eastAsia"/>
                <w:color w:val="000000"/>
                <w:sz w:val="24"/>
              </w:rPr>
              <w:t>0%</w:t>
            </w:r>
          </w:p>
        </w:tc>
      </w:tr>
      <w:tr w:rsidR="00B41B0F" w:rsidRPr="00AB630F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4D50A3" w:rsidRDefault="00B41B0F" w:rsidP="00A340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5F3387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F3387">
              <w:rPr>
                <w:rFonts w:hint="eastAsia"/>
                <w:color w:val="000000"/>
                <w:sz w:val="24"/>
              </w:rPr>
              <w:t>889.27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5F3387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5F3387">
              <w:rPr>
                <w:rFonts w:hint="eastAsia"/>
                <w:color w:val="FF0000"/>
                <w:sz w:val="24"/>
              </w:rPr>
              <w:t>40.10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B0F" w:rsidRPr="005F3387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5F3387">
              <w:rPr>
                <w:rFonts w:hint="eastAsia"/>
                <w:color w:val="FF0000"/>
                <w:sz w:val="24"/>
              </w:rPr>
              <w:t>4.72%</w:t>
            </w:r>
          </w:p>
        </w:tc>
      </w:tr>
    </w:tbl>
    <w:p w:rsidR="00B41B0F" w:rsidRPr="006F613E" w:rsidRDefault="00B41B0F" w:rsidP="00B41B0F">
      <w:pPr>
        <w:pStyle w:val="a8"/>
        <w:numPr>
          <w:ilvl w:val="0"/>
          <w:numId w:val="27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6F613E">
        <w:rPr>
          <w:rFonts w:ascii="宋体" w:hAnsi="宋体" w:hint="eastAsia"/>
          <w:b/>
          <w:color w:val="000000" w:themeColor="text1"/>
          <w:sz w:val="28"/>
          <w:szCs w:val="28"/>
        </w:rPr>
        <w:t>成交情况回顾: 多种产品均大幅溢价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  <w:r w:rsidRPr="006F613E">
        <w:rPr>
          <w:rFonts w:ascii="宋体" w:hAnsi="宋体" w:hint="eastAsia"/>
          <w:b/>
          <w:color w:val="000000" w:themeColor="text1"/>
          <w:sz w:val="28"/>
          <w:szCs w:val="28"/>
        </w:rPr>
        <w:t>燃料油溢价160元/吨居首</w:t>
      </w:r>
    </w:p>
    <w:p w:rsidR="00B41B0F" w:rsidRPr="00FC4B42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color w:val="000000" w:themeColor="text1"/>
          <w:sz w:val="24"/>
          <w:szCs w:val="24"/>
        </w:rPr>
        <w:t>2015年</w:t>
      </w:r>
      <w:r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17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日渤海商品交易所现货竞买化工板块</w:t>
      </w: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家企业挂牌销售</w:t>
      </w:r>
      <w:r>
        <w:rPr>
          <w:rFonts w:ascii="宋体" w:hAnsi="宋体" w:hint="eastAsia"/>
          <w:color w:val="000000" w:themeColor="text1"/>
          <w:sz w:val="24"/>
          <w:szCs w:val="24"/>
        </w:rPr>
        <w:t>24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种产品，成交量</w:t>
      </w:r>
      <w:r>
        <w:rPr>
          <w:rFonts w:ascii="宋体" w:hAnsi="宋体" w:hint="eastAsia"/>
          <w:color w:val="000000" w:themeColor="text1"/>
          <w:sz w:val="24"/>
          <w:szCs w:val="24"/>
        </w:rPr>
        <w:t>10274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吨，成交金额</w:t>
      </w:r>
      <w:r>
        <w:rPr>
          <w:rFonts w:ascii="宋体" w:hAnsi="宋体" w:hint="eastAsia"/>
          <w:color w:val="000000" w:themeColor="text1"/>
          <w:sz w:val="24"/>
          <w:szCs w:val="24"/>
        </w:rPr>
        <w:t>2990.39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万元。</w:t>
      </w:r>
      <w:r>
        <w:rPr>
          <w:rFonts w:ascii="宋体" w:hAnsi="宋体" w:hint="eastAsia"/>
          <w:color w:val="000000" w:themeColor="text1"/>
          <w:sz w:val="24"/>
          <w:szCs w:val="24"/>
        </w:rPr>
        <w:t>聚氯乙烯SG-5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4720 - 4790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3040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清洁液化气溢价100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4400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700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；液化石油气溢价150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5000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400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  <w:r>
        <w:rPr>
          <w:rFonts w:ascii="宋体" w:hAnsi="宋体" w:hint="eastAsia"/>
          <w:color w:val="000000" w:themeColor="text1"/>
          <w:sz w:val="24"/>
          <w:szCs w:val="24"/>
        </w:rPr>
        <w:t>沥青溢价40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2060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800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  <w:r>
        <w:rPr>
          <w:rFonts w:ascii="宋体" w:hAnsi="宋体" w:hint="eastAsia"/>
          <w:color w:val="000000" w:themeColor="text1"/>
          <w:sz w:val="24"/>
          <w:szCs w:val="24"/>
        </w:rPr>
        <w:t>燃料油溢价160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2810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1000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吨。今日共有</w:t>
      </w:r>
      <w:r>
        <w:rPr>
          <w:rFonts w:ascii="宋体" w:hAnsi="宋体" w:hint="eastAsia"/>
          <w:color w:val="000000" w:themeColor="text1"/>
          <w:sz w:val="24"/>
          <w:szCs w:val="24"/>
        </w:rPr>
        <w:t>26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家企业参与竞买并成功交易。</w:t>
      </w:r>
    </w:p>
    <w:p w:rsidR="00B41B0F" w:rsidRPr="006F613E" w:rsidRDefault="00B41B0F" w:rsidP="00B41B0F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 w:rsidRPr="006F613E">
        <w:rPr>
          <w:rFonts w:ascii="宋体" w:hAnsi="宋体" w:hint="eastAsia"/>
          <w:b/>
          <w:color w:val="000000"/>
          <w:sz w:val="22"/>
          <w:szCs w:val="28"/>
        </w:rPr>
        <w:t>具体成交情况如下：</w:t>
      </w:r>
    </w:p>
    <w:tbl>
      <w:tblPr>
        <w:tblStyle w:val="-5"/>
        <w:tblW w:w="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360"/>
        <w:gridCol w:w="1119"/>
        <w:gridCol w:w="1119"/>
      </w:tblGrid>
      <w:tr w:rsidR="00B41B0F" w:rsidRPr="006F613E" w:rsidTr="00A3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41B0F" w:rsidRPr="006F613E" w:rsidRDefault="00B41B0F" w:rsidP="00A3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F613E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41B0F" w:rsidRPr="006F613E" w:rsidRDefault="00B41B0F" w:rsidP="00A3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F613E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B41B0F" w:rsidRPr="006F613E" w:rsidRDefault="00B41B0F" w:rsidP="00A3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F613E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41B0F" w:rsidRPr="006F613E" w:rsidRDefault="00B41B0F" w:rsidP="00A3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F613E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B41B0F" w:rsidRPr="006F613E" w:rsidRDefault="00B41B0F" w:rsidP="00A3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F613E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proofErr w:type="gramStart"/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  <w:proofErr w:type="gramEnd"/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苯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4600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210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5600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42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沥青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2060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800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硫磺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1130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1020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950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液化</w:t>
            </w:r>
          </w:p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石油气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5000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400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华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星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苯乙烯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7350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30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5570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110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清洁</w:t>
            </w:r>
          </w:p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液化气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4400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700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880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2000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90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沈阳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石蜡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化工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燃料油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2810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F613E">
              <w:rPr>
                <w:rFonts w:ascii="宋体" w:hAnsi="宋体" w:hint="eastAsia"/>
                <w:b/>
                <w:color w:val="FF0000"/>
              </w:rPr>
              <w:t>1000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新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疆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中</w:t>
            </w:r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lastRenderedPageBreak/>
              <w:t>泰</w:t>
            </w: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lastRenderedPageBreak/>
              <w:t>青峰牌</w:t>
            </w:r>
          </w:p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PVC-SG-5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4790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2040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圣雄牌</w:t>
            </w:r>
          </w:p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lastRenderedPageBreak/>
              <w:t>PVC-SG-5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lastRenderedPageBreak/>
              <w:t>4720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1000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lastRenderedPageBreak/>
              <w:t>正</w:t>
            </w:r>
            <w:proofErr w:type="gramStart"/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和</w:t>
            </w:r>
            <w:proofErr w:type="gramEnd"/>
          </w:p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F613E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5600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42</w:t>
            </w:r>
          </w:p>
        </w:tc>
      </w:tr>
      <w:tr w:rsidR="00B41B0F" w:rsidRPr="006F613E" w:rsidTr="00A340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870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770</w:t>
            </w:r>
          </w:p>
        </w:tc>
      </w:tr>
      <w:tr w:rsidR="00B41B0F" w:rsidRPr="006F613E" w:rsidTr="00A3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rPr>
                <w:rFonts w:ascii="宋体" w:hAnsi="宋体"/>
                <w:bCs w:val="0"/>
              </w:rPr>
            </w:pPr>
          </w:p>
        </w:tc>
        <w:tc>
          <w:tcPr>
            <w:tcW w:w="13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41B0F" w:rsidRPr="006F613E" w:rsidRDefault="00B41B0F" w:rsidP="00A3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F613E">
              <w:rPr>
                <w:rFonts w:ascii="宋体" w:hAnsi="宋体" w:hint="eastAsia"/>
                <w:color w:val="000000"/>
              </w:rPr>
              <w:t>30</w:t>
            </w:r>
          </w:p>
        </w:tc>
      </w:tr>
    </w:tbl>
    <w:p w:rsidR="00B41B0F" w:rsidRPr="008F1F32" w:rsidRDefault="00B41B0F" w:rsidP="00B41B0F">
      <w:pPr>
        <w:spacing w:line="360" w:lineRule="auto"/>
        <w:rPr>
          <w:rFonts w:ascii="宋体" w:hAnsi="宋体"/>
          <w:color w:val="000000"/>
          <w:szCs w:val="28"/>
        </w:rPr>
      </w:pPr>
      <w:r w:rsidRPr="008F1F32">
        <w:rPr>
          <w:rFonts w:ascii="宋体" w:hAnsi="宋体" w:hint="eastAsia"/>
          <w:color w:val="000000"/>
          <w:szCs w:val="28"/>
        </w:rPr>
        <w:t>注:红字为溢价成交。</w:t>
      </w:r>
    </w:p>
    <w:p w:rsidR="00B41B0F" w:rsidRPr="006F613E" w:rsidRDefault="00B41B0F" w:rsidP="00B41B0F">
      <w:pPr>
        <w:pStyle w:val="a8"/>
        <w:numPr>
          <w:ilvl w:val="0"/>
          <w:numId w:val="27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6F613E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B41B0F" w:rsidRDefault="00B41B0F" w:rsidP="00B41B0F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丙烯：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延续涨势，</w:t>
      </w:r>
      <w:proofErr w:type="gramStart"/>
      <w:r>
        <w:rPr>
          <w:rFonts w:ascii="宋体" w:hAnsi="宋体" w:hint="eastAsia"/>
          <w:b/>
          <w:color w:val="000000" w:themeColor="text1"/>
          <w:sz w:val="24"/>
          <w:szCs w:val="24"/>
        </w:rPr>
        <w:t>竞价指数</w:t>
      </w:r>
      <w:proofErr w:type="gramEnd"/>
      <w:r>
        <w:rPr>
          <w:rFonts w:ascii="宋体" w:hAnsi="宋体" w:hint="eastAsia"/>
          <w:b/>
          <w:color w:val="000000" w:themeColor="text1"/>
          <w:sz w:val="24"/>
          <w:szCs w:val="24"/>
        </w:rPr>
        <w:t>大涨2.86%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782089">
        <w:rPr>
          <w:rFonts w:asciiTheme="minorEastAsia" w:hAnsiTheme="minorEastAsia" w:hint="eastAsia"/>
          <w:color w:val="000000" w:themeColor="text1"/>
          <w:sz w:val="24"/>
          <w:szCs w:val="24"/>
        </w:rPr>
        <w:t>原油暴涨，丙烯生产厂商借力继续拉涨价格，且下游PP粉料及环</w:t>
      </w:r>
      <w:proofErr w:type="gramStart"/>
      <w:r w:rsidRPr="00782089">
        <w:rPr>
          <w:rFonts w:asciiTheme="minorEastAsia" w:hAnsiTheme="minorEastAsia" w:hint="eastAsia"/>
          <w:color w:val="000000" w:themeColor="text1"/>
          <w:sz w:val="24"/>
          <w:szCs w:val="24"/>
        </w:rPr>
        <w:t>丙近期</w:t>
      </w:r>
      <w:proofErr w:type="gramEnd"/>
      <w:r w:rsidRPr="00782089">
        <w:rPr>
          <w:rFonts w:asciiTheme="minorEastAsia" w:hAnsiTheme="minorEastAsia" w:hint="eastAsia"/>
          <w:color w:val="000000" w:themeColor="text1"/>
          <w:sz w:val="24"/>
          <w:szCs w:val="24"/>
        </w:rPr>
        <w:t>表现尚佳，消耗速度有所提升。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商所山东地区丙烯以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5570 - 5600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194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吨。</w:t>
      </w:r>
    </w:p>
    <w:p w:rsidR="00B41B0F" w:rsidRPr="008762E0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</w:t>
      </w:r>
      <w:proofErr w:type="gramStart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渤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商所溢价成交，</w:t>
      </w:r>
      <w:proofErr w:type="gramStart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竞价指数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大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涨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4.72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%。</w:t>
      </w:r>
      <w:r w:rsidRPr="0028445F">
        <w:rPr>
          <w:rFonts w:ascii="宋体" w:hAnsi="宋体" w:hint="eastAsia"/>
          <w:color w:val="000000" w:themeColor="text1"/>
          <w:sz w:val="24"/>
          <w:szCs w:val="24"/>
        </w:rPr>
        <w:t>山东民用气价格稳定，出货尚可，原料气价格上涨，交投情况不一，卖方库压相对较低。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="宋体" w:hAnsi="宋体" w:hint="eastAsia"/>
          <w:color w:val="000000" w:themeColor="text1"/>
          <w:sz w:val="24"/>
          <w:szCs w:val="24"/>
        </w:rPr>
        <w:t>商所山东地区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清洁液化气溢价100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4400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700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；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液化石油气溢价150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5000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400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B41B0F" w:rsidRPr="00FC4B42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石油焦：</w:t>
      </w:r>
      <w:proofErr w:type="gramStart"/>
      <w:r>
        <w:rPr>
          <w:rFonts w:ascii="宋体" w:hAnsi="宋体" w:hint="eastAsia"/>
          <w:b/>
          <w:color w:val="000000" w:themeColor="text1"/>
          <w:sz w:val="24"/>
          <w:szCs w:val="24"/>
        </w:rPr>
        <w:t>渤</w:t>
      </w:r>
      <w:proofErr w:type="gramEnd"/>
      <w:r>
        <w:rPr>
          <w:rFonts w:ascii="宋体" w:hAnsi="宋体" w:hint="eastAsia"/>
          <w:b/>
          <w:color w:val="000000" w:themeColor="text1"/>
          <w:sz w:val="24"/>
          <w:szCs w:val="24"/>
        </w:rPr>
        <w:t>商所成交量大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="宋体" w:hAnsi="宋体" w:hint="eastAsia"/>
          <w:color w:val="000000" w:themeColor="text1"/>
          <w:sz w:val="24"/>
          <w:szCs w:val="24"/>
        </w:rPr>
        <w:t>商所山东地区石油焦以8</w:t>
      </w: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-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102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3720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B41B0F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硫磺：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横盘整理。</w:t>
      </w:r>
      <w:r w:rsidRPr="008A073E">
        <w:rPr>
          <w:rFonts w:ascii="宋体" w:hAnsi="宋体" w:hint="eastAsia"/>
          <w:color w:val="000000" w:themeColor="text1"/>
          <w:sz w:val="24"/>
          <w:szCs w:val="24"/>
        </w:rPr>
        <w:t>国内硫磺市场延续弱势整理态势，场内交投氛围随着价格不断走跌略有提升，其中以长江港口表现最为凸显，持货商报盘略有回暖。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="宋体" w:hAnsi="宋体" w:hint="eastAsia"/>
          <w:color w:val="000000" w:themeColor="text1"/>
          <w:sz w:val="24"/>
          <w:szCs w:val="24"/>
        </w:rPr>
        <w:t>商所山东地区液体硫磺以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1130 -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180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B41B0F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燃料油</w:t>
      </w:r>
      <w:r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1E6B40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="宋体" w:hAnsi="宋体" w:hint="eastAsia"/>
          <w:color w:val="000000" w:themeColor="text1"/>
          <w:sz w:val="24"/>
          <w:szCs w:val="24"/>
        </w:rPr>
        <w:t>商所</w:t>
      </w:r>
      <w:r>
        <w:rPr>
          <w:rFonts w:ascii="宋体" w:hAnsi="宋体" w:hint="eastAsia"/>
          <w:color w:val="000000" w:themeColor="text1"/>
          <w:sz w:val="24"/>
          <w:szCs w:val="24"/>
        </w:rPr>
        <w:t>东北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燃料油溢价160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2810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1000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B41B0F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沥青</w:t>
      </w:r>
      <w:r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1E6B40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="宋体" w:hAnsi="宋体" w:hint="eastAsia"/>
          <w:color w:val="000000" w:themeColor="text1"/>
          <w:sz w:val="24"/>
          <w:szCs w:val="24"/>
        </w:rPr>
        <w:t>商所</w:t>
      </w:r>
      <w:r>
        <w:rPr>
          <w:rFonts w:ascii="宋体" w:hAnsi="宋体" w:hint="eastAsia"/>
          <w:color w:val="000000" w:themeColor="text1"/>
          <w:sz w:val="24"/>
          <w:szCs w:val="24"/>
        </w:rPr>
        <w:t>山东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沥青溢价40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2060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800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B41B0F" w:rsidRPr="0012427E" w:rsidRDefault="00B41B0F" w:rsidP="00B41B0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7576CB">
        <w:rPr>
          <w:rFonts w:ascii="宋体" w:hAnsi="宋体" w:hint="eastAsia"/>
          <w:b/>
          <w:color w:val="000000" w:themeColor="text1"/>
          <w:sz w:val="24"/>
          <w:szCs w:val="24"/>
        </w:rPr>
        <w:t>聚氯乙烯</w:t>
      </w:r>
      <w:r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渤</w:t>
      </w:r>
      <w:proofErr w:type="gramEnd"/>
      <w:r w:rsidRPr="00FC4B42">
        <w:rPr>
          <w:rFonts w:ascii="宋体" w:hAnsi="宋体" w:hint="eastAsia"/>
          <w:color w:val="000000" w:themeColor="text1"/>
          <w:sz w:val="24"/>
          <w:szCs w:val="24"/>
        </w:rPr>
        <w:t>商所</w:t>
      </w:r>
      <w:r>
        <w:rPr>
          <w:rFonts w:ascii="宋体" w:hAnsi="宋体" w:hint="eastAsia"/>
          <w:color w:val="000000" w:themeColor="text1"/>
          <w:sz w:val="24"/>
          <w:szCs w:val="24"/>
        </w:rPr>
        <w:t>西北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聚氯乙烯SG-5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4720 - 4790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</w:t>
      </w:r>
      <w:proofErr w:type="gramStart"/>
      <w:r w:rsidRPr="00FC4B42">
        <w:rPr>
          <w:rFonts w:ascii="宋体" w:hAnsi="宋体" w:hint="eastAsia"/>
          <w:color w:val="000000" w:themeColor="text1"/>
          <w:sz w:val="24"/>
          <w:szCs w:val="24"/>
        </w:rPr>
        <w:t>吨成交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3040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B41B0F" w:rsidRDefault="00B41B0F" w:rsidP="00B41B0F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B41B0F" w:rsidRDefault="00B41B0F" w:rsidP="00B41B0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润滑油基础油（恩格）：上下游缺乏利好，厂家降价促销效果不明显</w:t>
      </w:r>
    </w:p>
    <w:p w:rsidR="00B41B0F" w:rsidRDefault="00B41B0F" w:rsidP="00B41B0F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B41B0F" w:rsidRDefault="00B41B0F" w:rsidP="00B41B0F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润滑油基础油（恩格）震荡下跌。开盘价7.02元/公斤，</w:t>
      </w:r>
      <w:proofErr w:type="gramStart"/>
      <w:r>
        <w:rPr>
          <w:rFonts w:ascii="宋体" w:hAnsi="宋体" w:hint="eastAsia"/>
          <w:color w:val="000000"/>
          <w:sz w:val="24"/>
        </w:rPr>
        <w:t>最</w:t>
      </w:r>
      <w:proofErr w:type="gramEnd"/>
      <w:r>
        <w:rPr>
          <w:rFonts w:ascii="宋体" w:hAnsi="宋体" w:hint="eastAsia"/>
          <w:color w:val="000000"/>
          <w:sz w:val="24"/>
        </w:rPr>
        <w:t>高价7.04元/公斤，最低价6.87元/公斤，收盘价6.93元/公斤，较上一交易日下跌0.08元/公斤，</w:t>
      </w:r>
      <w:r>
        <w:rPr>
          <w:rFonts w:ascii="宋体" w:hAnsi="宋体" w:hint="eastAsia"/>
          <w:color w:val="000000"/>
          <w:sz w:val="24"/>
        </w:rPr>
        <w:lastRenderedPageBreak/>
        <w:t>结算价6.98元/公斤。今日卖申报525797手，即10515.94吨。</w:t>
      </w:r>
    </w:p>
    <w:p w:rsidR="00B41B0F" w:rsidRDefault="00B41B0F" w:rsidP="00B41B0F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B41B0F" w:rsidRDefault="00B41B0F" w:rsidP="00B41B0F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近期国际原油再度下跌，波及基础油市场担忧情绪浓厚。周三（9月16日）WTI 15年10月期货每桶47.15美元，涨2.56美元。伦敦洲际交易所布伦特15年10月期货每桶49.75美元，涨3.12美元。</w:t>
      </w:r>
    </w:p>
    <w:p w:rsidR="00B41B0F" w:rsidRDefault="00B41B0F" w:rsidP="00B41B0F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据悉本周出现了一些从韩国运出的航运</w:t>
      </w:r>
      <w:proofErr w:type="gramStart"/>
      <w:r>
        <w:rPr>
          <w:rFonts w:ascii="宋体" w:hAnsi="宋体" w:hint="eastAsia"/>
          <w:color w:val="000000"/>
          <w:sz w:val="24"/>
        </w:rPr>
        <w:t>询</w:t>
      </w:r>
      <w:proofErr w:type="gramEnd"/>
      <w:r>
        <w:rPr>
          <w:rFonts w:ascii="宋体" w:hAnsi="宋体" w:hint="eastAsia"/>
          <w:color w:val="000000"/>
          <w:sz w:val="24"/>
        </w:rPr>
        <w:t>盘，其中两个等级共 1,000 吨的基础油已报过价，将从丽水运往中国天津，达成合约后将在 9 月 25 日发货。两个等级共 2,000 吨的基础</w:t>
      </w:r>
      <w:proofErr w:type="gramStart"/>
      <w:r>
        <w:rPr>
          <w:rFonts w:ascii="宋体" w:hAnsi="宋体" w:hint="eastAsia"/>
          <w:color w:val="000000"/>
          <w:sz w:val="24"/>
        </w:rPr>
        <w:t>油正在</w:t>
      </w:r>
      <w:proofErr w:type="gramEnd"/>
      <w:r>
        <w:rPr>
          <w:rFonts w:ascii="宋体" w:hAnsi="宋体" w:hint="eastAsia"/>
          <w:color w:val="000000"/>
          <w:sz w:val="24"/>
        </w:rPr>
        <w:t>商议中，将从</w:t>
      </w:r>
      <w:proofErr w:type="gramStart"/>
      <w:r>
        <w:rPr>
          <w:rFonts w:ascii="宋体" w:hAnsi="宋体" w:hint="eastAsia"/>
          <w:color w:val="000000"/>
          <w:sz w:val="24"/>
        </w:rPr>
        <w:t>从</w:t>
      </w:r>
      <w:proofErr w:type="gramEnd"/>
      <w:r>
        <w:rPr>
          <w:rFonts w:ascii="宋体" w:hAnsi="宋体" w:hint="eastAsia"/>
          <w:color w:val="000000"/>
          <w:sz w:val="24"/>
        </w:rPr>
        <w:t>日本根岸运往韩国蔚山，达成合约后将立即发货。</w:t>
      </w:r>
    </w:p>
    <w:p w:rsidR="00B41B0F" w:rsidRDefault="00B41B0F" w:rsidP="00B41B0F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在需求普遍趋弱的时期，由于供应商希望保持竞争力并吸引更多订单，亚洲将出现一些基础油价格下跌的现象。在这段可能需求趋弱的时期，据悉中国的几家基础油工厂也缩减了生产率，或者停工进入周转期。鉴于市场行情和原料供货减少，中国石化的其他一些分公司（如中国石化济南分公司和荆门分公司）据悉将调低生产率。</w:t>
      </w:r>
    </w:p>
    <w:p w:rsidR="00B41B0F" w:rsidRDefault="00B41B0F" w:rsidP="00B41B0F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终端需求表现仍较为疲软，不过受到近期利好因素的支撑，基础油市场呈现小幅回暖走势。随着价格跌势放缓，下游调和企业采购底气逐渐加强，但多数调和企业仍维持以销定产、按需定进的模式，旺季回暖步伐缓慢。</w:t>
      </w:r>
    </w:p>
    <w:p w:rsidR="00B41B0F" w:rsidRDefault="00B41B0F" w:rsidP="00B41B0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起伏不定的原油价格、充足的供货和不断削弱的需求继续对亚洲基础油价格施加下行压力，本周的现货报价进一步下跌。商家对于原油走势的观望仍显浓厚，进口资源收紧支撑市场价格，但鉴于下游调和企业接货意向平淡，市场回暖脚步仍相对迟缓。预计下周国内基础油市场仍以持稳观望为主，个别炼厂价格或小幅调整价格试探下游需求，但收效有限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B41B0F" w:rsidTr="00A3403B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B0F" w:rsidRDefault="00B41B0F" w:rsidP="00A3403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B0F" w:rsidRDefault="00B41B0F" w:rsidP="00A3403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B0F" w:rsidRDefault="00B41B0F" w:rsidP="00A3403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B0F" w:rsidRDefault="00B41B0F" w:rsidP="00A3403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B0F" w:rsidRDefault="00B41B0F" w:rsidP="00A340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B41B0F" w:rsidTr="00A3403B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2015-09-11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2015-09-14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2015-09-15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2015-09-16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2015-09-17</w:t>
            </w:r>
          </w:p>
        </w:tc>
      </w:tr>
      <w:tr w:rsidR="00B41B0F" w:rsidTr="00A3403B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7.01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7.01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6.98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6.94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6.93</w:t>
            </w:r>
          </w:p>
        </w:tc>
      </w:tr>
      <w:tr w:rsidR="00B41B0F" w:rsidTr="00A3403B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6.2-6.4</w:t>
            </w:r>
          </w:p>
        </w:tc>
      </w:tr>
      <w:tr w:rsidR="00B41B0F" w:rsidTr="00A3403B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6.15-6.3</w:t>
            </w:r>
          </w:p>
        </w:tc>
      </w:tr>
      <w:tr w:rsidR="00B41B0F" w:rsidTr="00A3403B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</w:pPr>
            <w:r>
              <w:t>6.1-6.3</w:t>
            </w:r>
          </w:p>
        </w:tc>
      </w:tr>
    </w:tbl>
    <w:p w:rsidR="00B41B0F" w:rsidRDefault="00B41B0F" w:rsidP="00B41B0F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※市场点评：</w:t>
      </w:r>
    </w:p>
    <w:p w:rsidR="00B41B0F" w:rsidRDefault="00B41B0F" w:rsidP="00B41B0F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</w:t>
      </w:r>
      <w:proofErr w:type="gramStart"/>
      <w:r>
        <w:rPr>
          <w:rFonts w:ascii="宋体" w:hAnsi="宋体" w:hint="eastAsia"/>
          <w:color w:val="000000"/>
          <w:sz w:val="24"/>
        </w:rPr>
        <w:t>渤</w:t>
      </w:r>
      <w:proofErr w:type="gramEnd"/>
      <w:r>
        <w:rPr>
          <w:rFonts w:ascii="宋体" w:hAnsi="宋体" w:hint="eastAsia"/>
          <w:color w:val="000000"/>
          <w:sz w:val="24"/>
        </w:rPr>
        <w:t>商所B20010均价为6.93元/公斤，全国基础油市场主流价（华东）6.1-6.3元/公斤，渤海盘面价格与现货市场价格价差为0.63-0.83元/公斤。现货商可在</w:t>
      </w:r>
      <w:proofErr w:type="gramStart"/>
      <w:r>
        <w:rPr>
          <w:rFonts w:ascii="宋体" w:hAnsi="宋体" w:hint="eastAsia"/>
          <w:color w:val="000000"/>
          <w:sz w:val="24"/>
        </w:rPr>
        <w:t>渤</w:t>
      </w:r>
      <w:proofErr w:type="gramEnd"/>
      <w:r>
        <w:rPr>
          <w:rFonts w:ascii="宋体" w:hAnsi="宋体" w:hint="eastAsia"/>
          <w:color w:val="000000"/>
          <w:sz w:val="24"/>
        </w:rPr>
        <w:t>商所订立B20010合同。</w:t>
      </w:r>
    </w:p>
    <w:p w:rsidR="00B41B0F" w:rsidRDefault="00B41B0F" w:rsidP="00B41B0F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</w:t>
      </w:r>
      <w:proofErr w:type="gramStart"/>
      <w:r>
        <w:rPr>
          <w:rFonts w:ascii="宋体" w:hAnsi="宋体" w:hint="eastAsia"/>
          <w:color w:val="000000"/>
          <w:sz w:val="22"/>
        </w:rPr>
        <w:t>卓创咨询</w:t>
      </w:r>
      <w:proofErr w:type="gramEnd"/>
      <w:r>
        <w:rPr>
          <w:rFonts w:ascii="宋体" w:hAnsi="宋体" w:hint="eastAsia"/>
          <w:color w:val="000000"/>
          <w:sz w:val="22"/>
        </w:rPr>
        <w:t>等</w:t>
      </w:r>
    </w:p>
    <w:p w:rsidR="00B41B0F" w:rsidRDefault="00B41B0F" w:rsidP="00B41B0F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PTA：产业</w:t>
      </w:r>
      <w:proofErr w:type="gramStart"/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链仅供需</w:t>
      </w:r>
      <w:proofErr w:type="gramEnd"/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偏紧，下游无实质性跟进</w:t>
      </w:r>
    </w:p>
    <w:p w:rsidR="00B41B0F" w:rsidRDefault="00B41B0F" w:rsidP="00B41B0F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B41B0F" w:rsidRDefault="00B41B0F" w:rsidP="00B41B0F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B41B0F" w:rsidRDefault="00B41B0F" w:rsidP="00B41B0F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B41B0F" w:rsidTr="00A3403B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2015/9/17</w:t>
            </w:r>
          </w:p>
        </w:tc>
      </w:tr>
      <w:tr w:rsidR="00B41B0F" w:rsidTr="00A3403B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</w:tr>
      <w:tr w:rsidR="00B41B0F" w:rsidTr="00A3403B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765</w:t>
            </w:r>
          </w:p>
        </w:tc>
      </w:tr>
      <w:tr w:rsidR="00B41B0F" w:rsidTr="00A3403B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5660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5510</w:t>
            </w:r>
          </w:p>
        </w:tc>
      </w:tr>
      <w:tr w:rsidR="00B41B0F" w:rsidTr="00A3403B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B0F" w:rsidRDefault="00B41B0F" w:rsidP="00A340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</w:tr>
      <w:tr w:rsidR="00B41B0F" w:rsidTr="00A3403B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</w:tr>
      <w:tr w:rsidR="00B41B0F" w:rsidTr="00A3403B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</w:tr>
      <w:tr w:rsidR="00B41B0F" w:rsidTr="00A3403B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纤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</w:tr>
    </w:tbl>
    <w:p w:rsidR="00B41B0F" w:rsidRDefault="00B41B0F" w:rsidP="00B41B0F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原料PX方面，周三亚洲PX上涨11美元至765美元/吨FOB韩国和786美元/吨CFR台湾/中国。ICE十一月布伦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特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原油期货价格上涨91美分至48.42美元/桶。目前PX现货生产利润为20美元/吨，利润大幅压缩。目前PX对PTA成本支撑有限。</w:t>
      </w:r>
    </w:p>
    <w:p w:rsidR="00B41B0F" w:rsidRDefault="00B41B0F" w:rsidP="00B41B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PTA方面，目前PTA开工56%维持低位，故PTA 环节供需情况维持偏紧，现货市场低价惜售，个别供应商和贸易商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均有刚需补货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需求，只是聚酯工厂鉴于现货价格高于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合约月均价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，追涨意向不高；下游方面，终端产销跟进有限，限制</w:t>
      </w:r>
      <w:proofErr w:type="spellStart"/>
      <w:r>
        <w:rPr>
          <w:rFonts w:ascii="宋体" w:hAnsi="宋体" w:hint="eastAsia"/>
          <w:color w:val="000000" w:themeColor="text1"/>
          <w:sz w:val="24"/>
          <w:szCs w:val="24"/>
        </w:rPr>
        <w:t>PTA</w:t>
      </w:r>
      <w:proofErr w:type="spellEnd"/>
      <w:r>
        <w:rPr>
          <w:rFonts w:ascii="宋体" w:hAnsi="宋体" w:hint="eastAsia"/>
          <w:color w:val="000000" w:themeColor="text1"/>
          <w:sz w:val="24"/>
          <w:szCs w:val="24"/>
        </w:rPr>
        <w:t xml:space="preserve"> 价格独立上行。综合来看，PTA目前在供应偏紧支撑下维持短期偏强格局，后市等待供应恢复，预计仍会回归震荡偏弱。</w:t>
      </w:r>
    </w:p>
    <w:p w:rsidR="00B41B0F" w:rsidRDefault="00B41B0F" w:rsidP="00B41B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MEG方面，近期市场价格跟原油及外围的联动性增强，预计乙二醇短期在空单回补需求下下方空间有限，但中长线依旧持偏空预期。</w:t>
      </w:r>
    </w:p>
    <w:p w:rsidR="00B41B0F" w:rsidRDefault="00B41B0F" w:rsidP="00B41B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聚酯方面，上游聚酯原料近期强势震荡，但终端需求走弱，市场气氛观望。</w:t>
      </w: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下游切片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纺刚需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补货为主。终端方面，虽开工近期有所提高，但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丝产品今日开始降价促销，进一步说明下游走货压力仍在，产业链不畅通。预计短期聚酯切片维持震荡，关注上游原料走势及下游需求情况。</w:t>
      </w:r>
    </w:p>
    <w:p w:rsidR="00B41B0F" w:rsidRDefault="00B41B0F" w:rsidP="00B41B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总的来说，PTA供需仍然维持偏紧格局，后期装置继续有检修预期，保持去库存状态，但下游聚酯无实质性跟进，上涨动力不足。综合来看，PTA 短期仍可能保持振荡偏强的走势，但中长期集中检修过后总体仍将回归弱势。关注 PTA 装置检修的开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停情况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及聚酯负荷的变化。</w:t>
      </w:r>
    </w:p>
    <w:p w:rsidR="00B41B0F" w:rsidRDefault="00B41B0F" w:rsidP="00B41B0F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B41B0F" w:rsidTr="00A3403B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41B0F" w:rsidRDefault="00B41B0F" w:rsidP="00A3403B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B41B0F" w:rsidTr="00A3403B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B41B0F" w:rsidTr="00A3403B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4520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B0F" w:rsidRDefault="00B41B0F" w:rsidP="00A3403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-140</w:t>
            </w:r>
          </w:p>
        </w:tc>
      </w:tr>
      <w:tr w:rsidR="00B41B0F" w:rsidTr="00A3403B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41B0F" w:rsidRDefault="00B41B0F" w:rsidP="00A3403B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商所PTA上一交易日价格比传统华东市场价格低140元/吨，价差较大。在目前国内PTA产能严重过剩的情况下，交易商可选择在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商所订立卖出合同，增加销售渠道；也可在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商所订立买入合同，或随采随用。</w:t>
            </w:r>
          </w:p>
        </w:tc>
      </w:tr>
    </w:tbl>
    <w:p w:rsidR="00B41B0F" w:rsidRDefault="00B41B0F" w:rsidP="00B41B0F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硫磺（B20013）：小幅下跌，卖方积极出货</w:t>
      </w:r>
    </w:p>
    <w:p w:rsidR="00B41B0F" w:rsidRDefault="00B41B0F" w:rsidP="00B41B0F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B41B0F" w:rsidRDefault="00B41B0F" w:rsidP="00B41B0F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开盘价1055元/吨，</w:t>
      </w:r>
      <w:proofErr w:type="gramStart"/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最</w:t>
      </w:r>
      <w:proofErr w:type="gramEnd"/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高价1058元/吨，最低价1030元/吨，收盘价1038元/吨，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较上一交易日结算价下跌16元/吨，涨跌幅为-1.52%，结算价1045元/吨。总成交量110770吨，总交易额1.16亿，总持仓量182852吨。卖方交收申报4000吨。</w:t>
      </w:r>
    </w:p>
    <w:p w:rsidR="00B41B0F" w:rsidRDefault="00B41B0F" w:rsidP="00B41B0F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B41B0F" w:rsidRDefault="00B41B0F" w:rsidP="00B41B0F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今日国内各地区硫磺市场盘整运行，观望心态为主。国内各地区炼厂价格基本持稳，普光厂区今日价格下调10元/吨，库存4万吨左右，普光万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州港价格</w:t>
      </w:r>
      <w:proofErr w:type="gramEnd"/>
      <w:r>
        <w:rPr>
          <w:rFonts w:ascii="宋体" w:hAnsi="宋体" w:hint="eastAsia"/>
          <w:kern w:val="0"/>
          <w:sz w:val="24"/>
          <w:szCs w:val="21"/>
        </w:rPr>
        <w:t>1100元/吨，库存下降至4.5万吨，仍然承压。</w:t>
      </w:r>
    </w:p>
    <w:p w:rsidR="00B41B0F" w:rsidRDefault="00B41B0F" w:rsidP="00B41B0F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今日长江港硫磺市场呈现盘整态势，略有松动，颗粒硫磺价格在1050元/吨左右，持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货商无低价</w:t>
      </w:r>
      <w:proofErr w:type="gramEnd"/>
      <w:r>
        <w:rPr>
          <w:rFonts w:ascii="宋体" w:hAnsi="宋体" w:hint="eastAsia"/>
          <w:kern w:val="0"/>
          <w:sz w:val="24"/>
          <w:szCs w:val="21"/>
        </w:rPr>
        <w:t>出货意向，买方观望心态明显；南通港库存34万吨，镇江港库存16.5万吨，近期无船入港。防城港硫磺市场表现平淡，工厂资源少量</w:t>
      </w:r>
      <w:r>
        <w:rPr>
          <w:rFonts w:ascii="宋体" w:hAnsi="宋体" w:hint="eastAsia"/>
          <w:kern w:val="0"/>
          <w:sz w:val="24"/>
          <w:szCs w:val="21"/>
        </w:rPr>
        <w:lastRenderedPageBreak/>
        <w:t>运回，库存略微下降至38万吨，后期港内每周都有资源入港计划，颗粒硫磺报价在1100元/吨。青岛港硫磺市场盘整运行，昨日大厂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采购日</w:t>
      </w:r>
      <w:proofErr w:type="gramEnd"/>
      <w:r>
        <w:rPr>
          <w:rFonts w:ascii="宋体" w:hAnsi="宋体" w:hint="eastAsia"/>
          <w:kern w:val="0"/>
          <w:sz w:val="24"/>
          <w:szCs w:val="21"/>
        </w:rPr>
        <w:t>韩货源1000吨，成交单价在1070元/吨，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港内块粉主流</w:t>
      </w:r>
      <w:proofErr w:type="gramEnd"/>
      <w:r>
        <w:rPr>
          <w:rFonts w:ascii="宋体" w:hAnsi="宋体" w:hint="eastAsia"/>
          <w:kern w:val="0"/>
          <w:sz w:val="24"/>
          <w:szCs w:val="21"/>
        </w:rPr>
        <w:t>价格在1090元/吨左右，部分商家有意拿货，据悉后期将有大船抵港，对市场存在一定压制。</w:t>
      </w:r>
    </w:p>
    <w:p w:rsidR="00B41B0F" w:rsidRDefault="00B41B0F" w:rsidP="00B41B0F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一铵市场</w:t>
      </w:r>
      <w:proofErr w:type="gramEnd"/>
      <w:r>
        <w:rPr>
          <w:rFonts w:ascii="宋体" w:hAnsi="宋体" w:hint="eastAsia"/>
          <w:kern w:val="0"/>
          <w:sz w:val="24"/>
          <w:szCs w:val="21"/>
        </w:rPr>
        <w:t>整体运行平稳，无明显波动，实际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一</w:t>
      </w:r>
      <w:proofErr w:type="gramEnd"/>
      <w:r>
        <w:rPr>
          <w:rFonts w:ascii="宋体" w:hAnsi="宋体" w:hint="eastAsia"/>
          <w:kern w:val="0"/>
          <w:sz w:val="24"/>
          <w:szCs w:val="21"/>
        </w:rPr>
        <w:t>单一谈，下游以补货为主，小复合肥厂开工，仍存在一定采购需求，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价格暂稳运行</w:t>
      </w:r>
      <w:proofErr w:type="gramEnd"/>
      <w:r>
        <w:rPr>
          <w:rFonts w:ascii="宋体" w:hAnsi="宋体" w:hint="eastAsia"/>
          <w:kern w:val="0"/>
          <w:sz w:val="24"/>
          <w:szCs w:val="21"/>
        </w:rPr>
        <w:t>。二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铵市场</w:t>
      </w:r>
      <w:proofErr w:type="gramEnd"/>
      <w:r>
        <w:rPr>
          <w:rFonts w:ascii="宋体" w:hAnsi="宋体" w:hint="eastAsia"/>
          <w:kern w:val="0"/>
          <w:sz w:val="24"/>
          <w:szCs w:val="21"/>
        </w:rPr>
        <w:t>横盘整理为主，下游备肥平稳，国际二铵价格下滑，对国内市场支撑力度减弱，预售订单待发量支撑价格暂时平稳。目前磷铵市场对硫磺支撑薄弱。</w:t>
      </w:r>
    </w:p>
    <w:p w:rsidR="00B41B0F" w:rsidRDefault="00B41B0F" w:rsidP="00B41B0F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B41B0F" w:rsidTr="00A3403B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2015-09-17</w:t>
            </w:r>
          </w:p>
        </w:tc>
      </w:tr>
      <w:tr w:rsidR="00B41B0F" w:rsidTr="00A3403B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1045</w:t>
            </w:r>
          </w:p>
        </w:tc>
      </w:tr>
      <w:tr w:rsidR="00B41B0F" w:rsidTr="00A3403B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</w:tr>
      <w:tr w:rsidR="00B41B0F" w:rsidTr="00A3403B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</w:tr>
      <w:tr w:rsidR="00B41B0F" w:rsidTr="00A3403B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  <w:tr w:rsidR="00B41B0F" w:rsidTr="00A3403B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B0F" w:rsidRDefault="00B41B0F" w:rsidP="00A3403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B41B0F" w:rsidRDefault="00B41B0F" w:rsidP="00B41B0F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隆众资讯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）。</w:t>
      </w:r>
    </w:p>
    <w:p w:rsidR="00B41B0F" w:rsidRDefault="00B41B0F" w:rsidP="00B41B0F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B41B0F" w:rsidTr="00A3403B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41B0F" w:rsidRDefault="00B41B0F" w:rsidP="00A3403B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B41B0F" w:rsidTr="00A3403B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渤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B41B0F" w:rsidTr="00A3403B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1045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F" w:rsidRDefault="00B41B0F" w:rsidP="00A3403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B0F" w:rsidRDefault="00B41B0F" w:rsidP="00A3403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-10</w:t>
            </w:r>
          </w:p>
        </w:tc>
      </w:tr>
    </w:tbl>
    <w:p w:rsidR="00B41B0F" w:rsidRPr="002E1139" w:rsidRDefault="00B41B0F" w:rsidP="00B41B0F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</w:t>
      </w:r>
      <w:proofErr w:type="gramStart"/>
      <w:r>
        <w:rPr>
          <w:rFonts w:eastAsiaTheme="minorEastAsia" w:hint="eastAsia"/>
          <w:color w:val="000000" w:themeColor="text1"/>
          <w:sz w:val="24"/>
          <w:szCs w:val="24"/>
        </w:rPr>
        <w:t>渤</w:t>
      </w:r>
      <w:proofErr w:type="gramEnd"/>
      <w:r>
        <w:rPr>
          <w:rFonts w:eastAsiaTheme="minorEastAsia" w:hint="eastAsia"/>
          <w:color w:val="000000" w:themeColor="text1"/>
          <w:sz w:val="24"/>
          <w:szCs w:val="24"/>
        </w:rPr>
        <w:t>商所硫磺结算价为</w:t>
      </w:r>
      <w:r>
        <w:rPr>
          <w:rFonts w:eastAsiaTheme="minorEastAsia"/>
          <w:color w:val="000000" w:themeColor="text1"/>
          <w:sz w:val="24"/>
          <w:szCs w:val="24"/>
        </w:rPr>
        <w:t>1045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1055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10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</w:t>
      </w:r>
      <w:proofErr w:type="gramStart"/>
      <w:r>
        <w:rPr>
          <w:rFonts w:eastAsiaTheme="minorEastAsia" w:hint="eastAsia"/>
          <w:color w:val="000000" w:themeColor="text1"/>
          <w:sz w:val="24"/>
          <w:szCs w:val="24"/>
        </w:rPr>
        <w:t>渤</w:t>
      </w:r>
      <w:proofErr w:type="gramEnd"/>
      <w:r>
        <w:rPr>
          <w:rFonts w:eastAsiaTheme="minorEastAsia" w:hint="eastAsia"/>
          <w:color w:val="000000" w:themeColor="text1"/>
          <w:sz w:val="24"/>
          <w:szCs w:val="24"/>
        </w:rPr>
        <w:t>商所订立合同随采随用，也可以根据市场行情及时出货。</w:t>
      </w:r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B4" w:rsidRDefault="009C0BB4" w:rsidP="008A5C3D">
      <w:r>
        <w:separator/>
      </w:r>
    </w:p>
  </w:endnote>
  <w:endnote w:type="continuationSeparator" w:id="0">
    <w:p w:rsidR="009C0BB4" w:rsidRDefault="009C0BB4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B4" w:rsidRDefault="009C0BB4" w:rsidP="008A5C3D">
      <w:r>
        <w:separator/>
      </w:r>
    </w:p>
  </w:footnote>
  <w:footnote w:type="continuationSeparator" w:id="0">
    <w:p w:rsidR="009C0BB4" w:rsidRDefault="009C0BB4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21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0"/>
  </w:num>
  <w:num w:numId="18">
    <w:abstractNumId w:val="8"/>
  </w:num>
  <w:num w:numId="19">
    <w:abstractNumId w:val="25"/>
  </w:num>
  <w:num w:numId="20">
    <w:abstractNumId w:val="12"/>
  </w:num>
  <w:num w:numId="21">
    <w:abstractNumId w:val="6"/>
  </w:num>
  <w:num w:numId="22">
    <w:abstractNumId w:val="18"/>
  </w:num>
  <w:num w:numId="23">
    <w:abstractNumId w:val="22"/>
  </w:num>
  <w:num w:numId="24">
    <w:abstractNumId w:val="23"/>
  </w:num>
  <w:num w:numId="25">
    <w:abstractNumId w:val="10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33B1"/>
    <w:rsid w:val="00480D4B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A72DF"/>
    <w:rsid w:val="009C0BB4"/>
    <w:rsid w:val="00A0780E"/>
    <w:rsid w:val="00A24B4C"/>
    <w:rsid w:val="00A95AAE"/>
    <w:rsid w:val="00AE6971"/>
    <w:rsid w:val="00AF497B"/>
    <w:rsid w:val="00AF4E86"/>
    <w:rsid w:val="00B41B0F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A1A7F"/>
    <w:rsid w:val="00DB5419"/>
    <w:rsid w:val="00DF57C3"/>
    <w:rsid w:val="00E00523"/>
    <w:rsid w:val="00E23C6D"/>
    <w:rsid w:val="00E35EBF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5</cp:revision>
  <dcterms:created xsi:type="dcterms:W3CDTF">2015-09-16T08:55:00Z</dcterms:created>
  <dcterms:modified xsi:type="dcterms:W3CDTF">2015-09-17T09:27:00Z</dcterms:modified>
</cp:coreProperties>
</file>