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B9" w:rsidRDefault="000C32B9" w:rsidP="000C32B9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  <w:r>
        <w:rPr>
          <w:rFonts w:hAnsi="仿宋_GB2312"/>
          <w:b/>
          <w:bCs/>
          <w:sz w:val="36"/>
          <w:szCs w:val="36"/>
        </w:rPr>
        <w:t>【</w:t>
      </w:r>
      <w:r>
        <w:rPr>
          <w:rFonts w:hAnsi="仿宋_GB2312" w:hint="eastAsia"/>
          <w:b/>
          <w:bCs/>
          <w:sz w:val="36"/>
          <w:szCs w:val="36"/>
        </w:rPr>
        <w:t>煤炭</w:t>
      </w:r>
      <w:r w:rsidRPr="00113238">
        <w:rPr>
          <w:rFonts w:hAnsi="仿宋_GB2312"/>
          <w:b/>
          <w:bCs/>
          <w:sz w:val="36"/>
          <w:szCs w:val="36"/>
        </w:rPr>
        <w:t>板块】</w:t>
      </w:r>
    </w:p>
    <w:p w:rsidR="00652F4B" w:rsidRPr="00056351" w:rsidRDefault="00652F4B" w:rsidP="00652F4B">
      <w:pPr>
        <w:spacing w:beforeLines="100" w:before="312" w:line="360" w:lineRule="auto"/>
        <w:outlineLvl w:val="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动力煤：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横盘整理</w:t>
      </w:r>
    </w:p>
    <w:p w:rsidR="00652F4B" w:rsidRDefault="00652F4B" w:rsidP="00652F4B">
      <w:pPr>
        <w:spacing w:beforeLines="100" w:before="312"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※行情回顾：</w:t>
      </w:r>
      <w:r>
        <w:rPr>
          <w:rFonts w:eastAsia="仿宋_GB2312"/>
          <w:b/>
          <w:sz w:val="28"/>
          <w:szCs w:val="28"/>
        </w:rPr>
        <w:t xml:space="preserve"> </w:t>
      </w:r>
    </w:p>
    <w:p w:rsidR="00652F4B" w:rsidRPr="00D722C0" w:rsidRDefault="00652F4B" w:rsidP="00652F4B">
      <w:pPr>
        <w:spacing w:beforeLines="50" w:before="156"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D722C0">
        <w:rPr>
          <w:rFonts w:ascii="仿宋_GB2312" w:eastAsia="仿宋_GB2312" w:hint="eastAsia"/>
          <w:b/>
          <w:sz w:val="24"/>
          <w:szCs w:val="24"/>
        </w:rPr>
        <w:t>动力煤今日</w:t>
      </w:r>
      <w:r>
        <w:rPr>
          <w:rFonts w:ascii="仿宋_GB2312" w:eastAsia="仿宋_GB2312" w:hint="eastAsia"/>
          <w:b/>
          <w:sz w:val="24"/>
          <w:szCs w:val="24"/>
        </w:rPr>
        <w:t>横盘整理</w:t>
      </w:r>
      <w:r w:rsidRPr="00D722C0">
        <w:rPr>
          <w:rFonts w:ascii="仿宋_GB2312" w:eastAsia="仿宋_GB2312" w:hint="eastAsia"/>
          <w:b/>
          <w:sz w:val="24"/>
          <w:szCs w:val="24"/>
        </w:rPr>
        <w:t>。动力煤开盘价</w:t>
      </w:r>
      <w:r>
        <w:rPr>
          <w:rFonts w:ascii="仿宋_GB2312" w:eastAsia="仿宋_GB2312" w:hint="eastAsia"/>
          <w:b/>
          <w:sz w:val="24"/>
          <w:szCs w:val="24"/>
        </w:rPr>
        <w:t>326</w:t>
      </w:r>
      <w:r w:rsidRPr="00D722C0">
        <w:rPr>
          <w:rFonts w:ascii="仿宋_GB2312" w:eastAsia="仿宋_GB2312" w:hint="eastAsia"/>
          <w:b/>
          <w:sz w:val="24"/>
          <w:szCs w:val="24"/>
        </w:rPr>
        <w:t>元/吨，最高价</w:t>
      </w:r>
      <w:r>
        <w:rPr>
          <w:rFonts w:ascii="仿宋_GB2312" w:eastAsia="仿宋_GB2312" w:hint="eastAsia"/>
          <w:b/>
          <w:sz w:val="24"/>
          <w:szCs w:val="24"/>
        </w:rPr>
        <w:t>326</w:t>
      </w:r>
      <w:r w:rsidRPr="00D722C0">
        <w:rPr>
          <w:rFonts w:ascii="仿宋_GB2312" w:eastAsia="仿宋_GB2312" w:hint="eastAsia"/>
          <w:b/>
          <w:sz w:val="24"/>
          <w:szCs w:val="24"/>
        </w:rPr>
        <w:t>元/吨，最低价</w:t>
      </w:r>
      <w:r>
        <w:rPr>
          <w:rFonts w:ascii="仿宋_GB2312" w:eastAsia="仿宋_GB2312" w:hint="eastAsia"/>
          <w:b/>
          <w:sz w:val="24"/>
          <w:szCs w:val="24"/>
        </w:rPr>
        <w:t>326</w:t>
      </w:r>
      <w:r w:rsidRPr="00D722C0">
        <w:rPr>
          <w:rFonts w:ascii="仿宋_GB2312" w:eastAsia="仿宋_GB2312" w:hint="eastAsia"/>
          <w:b/>
          <w:sz w:val="24"/>
          <w:szCs w:val="24"/>
        </w:rPr>
        <w:t>元/吨，收盘价</w:t>
      </w:r>
      <w:r>
        <w:rPr>
          <w:rFonts w:ascii="仿宋_GB2312" w:eastAsia="仿宋_GB2312" w:hint="eastAsia"/>
          <w:b/>
          <w:sz w:val="24"/>
          <w:szCs w:val="24"/>
        </w:rPr>
        <w:t>326</w:t>
      </w:r>
      <w:r w:rsidRPr="00D722C0">
        <w:rPr>
          <w:rFonts w:ascii="仿宋_GB2312" w:eastAsia="仿宋_GB2312" w:hint="eastAsia"/>
          <w:b/>
          <w:sz w:val="24"/>
          <w:szCs w:val="24"/>
        </w:rPr>
        <w:t>元/吨。</w:t>
      </w:r>
    </w:p>
    <w:p w:rsidR="00652F4B" w:rsidRDefault="00652F4B" w:rsidP="00652F4B">
      <w:pPr>
        <w:spacing w:beforeLines="100" w:before="312" w:line="360" w:lineRule="auto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※基本面分析</w:t>
      </w:r>
      <w:r>
        <w:rPr>
          <w:rFonts w:eastAsia="仿宋_GB2312"/>
          <w:b/>
          <w:sz w:val="28"/>
          <w:szCs w:val="28"/>
        </w:rPr>
        <w:t>：</w:t>
      </w:r>
    </w:p>
    <w:p w:rsidR="00652F4B" w:rsidRDefault="00652F4B" w:rsidP="00652F4B">
      <w:pPr>
        <w:spacing w:beforeLines="50" w:before="156"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C32779">
        <w:rPr>
          <w:rFonts w:ascii="宋体" w:hAnsi="宋体" w:hint="eastAsia"/>
          <w:color w:val="000000"/>
          <w:sz w:val="24"/>
          <w:szCs w:val="24"/>
        </w:rPr>
        <w:t>9月2</w:t>
      </w:r>
      <w:r>
        <w:rPr>
          <w:rFonts w:ascii="宋体" w:hAnsi="宋体" w:hint="eastAsia"/>
          <w:color w:val="000000"/>
          <w:sz w:val="24"/>
          <w:szCs w:val="24"/>
        </w:rPr>
        <w:t>3日（星期三</w:t>
      </w:r>
      <w:r w:rsidRPr="00C32779">
        <w:rPr>
          <w:rFonts w:ascii="宋体" w:hAnsi="宋体" w:hint="eastAsia"/>
          <w:color w:val="000000"/>
          <w:sz w:val="24"/>
          <w:szCs w:val="24"/>
        </w:rPr>
        <w:t>）</w:t>
      </w:r>
      <w:r w:rsidRPr="00E66A68">
        <w:rPr>
          <w:rFonts w:ascii="宋体" w:hAnsi="宋体" w:hint="eastAsia"/>
          <w:color w:val="000000"/>
          <w:sz w:val="24"/>
          <w:szCs w:val="24"/>
        </w:rPr>
        <w:t>9月下旬，下游需求不见好转，虽然大秦线检修将于10月8日展开，但是当前铁路偏低的煤炭运量，大幅削弱了检修对港口煤炭供需的影响，市场未现提前拉煤囤煤现象，另一方面，中秋十一假期即将到来，市场拉运热情提前低落，海上煤炭货源稀少，环渤海动力煤价迟迟不见底，本期跌破400元/吨的整数关口，再度刷新发布以来的最低记录。 9月23日下午价格最新消息，环渤海动力煤价格指数显示，5500大卡动力煤综合平均价格报收398元/吨，环比下跌2元/吨，自今年6月17日价格指数终止上涨以来到本报告期，价格指数累计下降了20元/吨。 秦皇岛港本期煤价继续下跌。秦皇岛港4500大卡发热量动力煤价格为315-325元/吨，5000大卡发热量动力煤价格为345-355元/吨，5500大卡发热量动力煤价格为390-400元/吨，5800大卡发热量动力煤价格为445-455元/吨。除发热量5500大卡动力煤价下跌5元/吨外，其他价格价格均与上期持平。 本期价格指数运行结果表明，价格持平的港口规格品占比达到四分之三，而价格下降的港口规格品虽然有所增加，但是占比依然较小，表明该地区动力煤价格呈现稳中趋降态势。 资深煤炭行业分析师李学刚分析认为，相对合理的港口煤炭库存水平、不断临近的大秦线检修，并未能给环渤海地区动力煤市场带来些许起色，而持续下降的国内海上煤炭运价，预示消费企业的煤炭采购热情不断降温，导致煤炭企业的销售压力增大，部分煤炭企业不得不再行降价促销，拖累本期环渤海地区动力煤价格及价格指数继续下行。 神华在9月份再次变相针对特定煤种进行降价促销，对于市场来说又是一个看空信号，即将进</w:t>
      </w:r>
      <w:r w:rsidRPr="00E66A68">
        <w:rPr>
          <w:rFonts w:ascii="宋体" w:hAnsi="宋体" w:hint="eastAsia"/>
          <w:color w:val="000000"/>
          <w:sz w:val="24"/>
          <w:szCs w:val="24"/>
        </w:rPr>
        <w:lastRenderedPageBreak/>
        <w:t>入月底，其他大型煤企如跟风降价，十月份煤价上涨困难度将加大。同时，与港口相比，产地煤炭市场运行情况略好，据了解，目前内蒙古冬储煤拉运行情开始启动，煤价出现上涨迹象。</w:t>
      </w:r>
    </w:p>
    <w:p w:rsidR="00652F4B" w:rsidRPr="00501CC4" w:rsidRDefault="00652F4B" w:rsidP="00652F4B">
      <w:pPr>
        <w:spacing w:beforeLines="50" w:before="156" w:line="360" w:lineRule="auto"/>
        <w:ind w:firstLineChars="200" w:firstLine="360"/>
        <w:jc w:val="left"/>
        <w:rPr>
          <w:rFonts w:eastAsia="仿宋_GB2312"/>
          <w:sz w:val="28"/>
          <w:szCs w:val="28"/>
        </w:rPr>
      </w:pPr>
      <w:r w:rsidRPr="00501CC4">
        <w:rPr>
          <w:rFonts w:hint="eastAsia"/>
          <w:color w:val="000000"/>
          <w:sz w:val="18"/>
          <w:szCs w:val="18"/>
        </w:rPr>
        <w:t>单位</w:t>
      </w:r>
      <w:r w:rsidRPr="00501CC4">
        <w:rPr>
          <w:color w:val="000000"/>
          <w:sz w:val="18"/>
          <w:szCs w:val="18"/>
        </w:rPr>
        <w:t>：</w:t>
      </w:r>
      <w:r w:rsidRPr="00501CC4">
        <w:rPr>
          <w:rFonts w:hint="eastAsia"/>
          <w:color w:val="000000"/>
          <w:sz w:val="18"/>
          <w:szCs w:val="18"/>
        </w:rPr>
        <w:t>元</w:t>
      </w:r>
      <w:r w:rsidRPr="00501CC4">
        <w:rPr>
          <w:rFonts w:hint="eastAsia"/>
          <w:color w:val="000000"/>
          <w:sz w:val="18"/>
          <w:szCs w:val="18"/>
        </w:rPr>
        <w:t>/</w:t>
      </w:r>
      <w:r w:rsidRPr="00501CC4">
        <w:rPr>
          <w:rFonts w:hint="eastAsia"/>
          <w:color w:val="000000"/>
          <w:sz w:val="18"/>
          <w:szCs w:val="18"/>
        </w:rPr>
        <w:t>吨</w:t>
      </w:r>
    </w:p>
    <w:tbl>
      <w:tblPr>
        <w:tblW w:w="8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318"/>
        <w:gridCol w:w="1318"/>
        <w:gridCol w:w="1318"/>
        <w:gridCol w:w="1318"/>
        <w:gridCol w:w="1318"/>
      </w:tblGrid>
      <w:tr w:rsidR="00652F4B" w:rsidRPr="00501CC4" w:rsidTr="0062244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F4B" w:rsidRPr="00501CC4" w:rsidRDefault="00652F4B" w:rsidP="00622447">
            <w:pPr>
              <w:jc w:val="center"/>
              <w:rPr>
                <w:rFonts w:ascii="宋体"/>
                <w:szCs w:val="21"/>
              </w:rPr>
            </w:pPr>
            <w:r w:rsidRPr="00501CC4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2015-09-17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2015-09-18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2015-09-21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2015-09-22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2015-09-23</w:t>
            </w:r>
          </w:p>
        </w:tc>
      </w:tr>
      <w:tr w:rsidR="00652F4B" w:rsidRPr="00501CC4" w:rsidTr="00622447">
        <w:trPr>
          <w:trHeight w:val="18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F4B" w:rsidRPr="00501CC4" w:rsidRDefault="00652F4B" w:rsidP="00622447">
            <w:pPr>
              <w:jc w:val="center"/>
              <w:rPr>
                <w:rFonts w:ascii="宋体"/>
                <w:szCs w:val="21"/>
              </w:rPr>
            </w:pPr>
            <w:r w:rsidRPr="00501CC4">
              <w:rPr>
                <w:rFonts w:ascii="宋体" w:hAnsi="宋体"/>
                <w:szCs w:val="21"/>
              </w:rPr>
              <w:t>BSC</w:t>
            </w:r>
            <w:r w:rsidRPr="00501CC4">
              <w:rPr>
                <w:rFonts w:ascii="宋体" w:hAnsi="宋体" w:hint="eastAsia"/>
                <w:szCs w:val="21"/>
              </w:rPr>
              <w:t>结算价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326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2F4B" w:rsidRPr="00501CC4" w:rsidTr="00622447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F4B" w:rsidRPr="00501CC4" w:rsidRDefault="00652F4B" w:rsidP="00622447">
            <w:pPr>
              <w:jc w:val="center"/>
              <w:rPr>
                <w:rFonts w:ascii="宋体"/>
                <w:szCs w:val="21"/>
              </w:rPr>
            </w:pPr>
            <w:r w:rsidRPr="00501CC4">
              <w:rPr>
                <w:rFonts w:ascii="宋体" w:hAnsi="宋体" w:hint="eastAsia"/>
                <w:szCs w:val="21"/>
              </w:rPr>
              <w:t>秦皇岛港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395-405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395-405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395-405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395-405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395-405</w:t>
            </w:r>
          </w:p>
        </w:tc>
      </w:tr>
      <w:tr w:rsidR="00652F4B" w:rsidRPr="00501CC4" w:rsidTr="00622447">
        <w:trPr>
          <w:trHeight w:val="7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F4B" w:rsidRPr="00501CC4" w:rsidRDefault="00652F4B" w:rsidP="00622447">
            <w:pPr>
              <w:jc w:val="center"/>
              <w:rPr>
                <w:rFonts w:ascii="宋体" w:hAnsi="宋体"/>
                <w:szCs w:val="21"/>
              </w:rPr>
            </w:pPr>
            <w:r w:rsidRPr="00501CC4">
              <w:rPr>
                <w:rFonts w:ascii="宋体" w:hAnsi="宋体" w:hint="eastAsia"/>
                <w:szCs w:val="21"/>
              </w:rPr>
              <w:t>动力煤期货主力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377.8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377.6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373.6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371.6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Pr="00501CC4" w:rsidRDefault="00652F4B" w:rsidP="00622447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370.6</w:t>
            </w:r>
          </w:p>
        </w:tc>
      </w:tr>
      <w:tr w:rsidR="00652F4B" w:rsidRPr="00501CC4" w:rsidTr="00622447">
        <w:trPr>
          <w:trHeight w:val="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F4B" w:rsidRPr="00501CC4" w:rsidRDefault="00652F4B" w:rsidP="00622447">
            <w:pPr>
              <w:jc w:val="center"/>
              <w:rPr>
                <w:rFonts w:ascii="宋体"/>
                <w:szCs w:val="21"/>
              </w:rPr>
            </w:pPr>
            <w:r w:rsidRPr="00501CC4">
              <w:rPr>
                <w:rFonts w:ascii="宋体" w:hAnsi="宋体" w:hint="eastAsia"/>
                <w:szCs w:val="21"/>
              </w:rPr>
              <w:t>库存</w:t>
            </w:r>
            <w:r w:rsidRPr="00501CC4">
              <w:rPr>
                <w:rFonts w:ascii="宋体" w:hAnsi="宋体"/>
                <w:szCs w:val="21"/>
              </w:rPr>
              <w:t>(</w:t>
            </w:r>
            <w:r w:rsidRPr="00501CC4">
              <w:rPr>
                <w:rFonts w:ascii="宋体" w:hAnsi="宋体" w:hint="eastAsia"/>
                <w:szCs w:val="21"/>
              </w:rPr>
              <w:t>万吨</w:t>
            </w:r>
            <w:r w:rsidRPr="00501C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609.5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613.5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4B" w:rsidRDefault="00652F4B" w:rsidP="0062244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625.5</w:t>
            </w:r>
          </w:p>
        </w:tc>
      </w:tr>
    </w:tbl>
    <w:p w:rsidR="00652F4B" w:rsidRDefault="00652F4B" w:rsidP="00652F4B">
      <w:pPr>
        <w:spacing w:beforeLines="100" w:before="312"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※市场点评：</w:t>
      </w:r>
    </w:p>
    <w:p w:rsidR="00652F4B" w:rsidRPr="004D32F5" w:rsidRDefault="00652F4B" w:rsidP="00652F4B">
      <w:pPr>
        <w:spacing w:beforeLines="50" w:before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D32F5">
        <w:rPr>
          <w:rFonts w:ascii="宋体" w:hAnsi="宋体" w:hint="eastAsia"/>
          <w:sz w:val="24"/>
          <w:szCs w:val="24"/>
        </w:rPr>
        <w:t>今日</w:t>
      </w:r>
      <w:r w:rsidRPr="004D32F5">
        <w:rPr>
          <w:rFonts w:ascii="宋体" w:hAnsi="宋体"/>
          <w:sz w:val="24"/>
          <w:szCs w:val="24"/>
        </w:rPr>
        <w:t>动力煤</w:t>
      </w:r>
      <w:r w:rsidRPr="004D32F5">
        <w:rPr>
          <w:rFonts w:ascii="宋体" w:hAnsi="宋体" w:hint="eastAsia"/>
          <w:sz w:val="24"/>
          <w:szCs w:val="24"/>
        </w:rPr>
        <w:t>呈现</w:t>
      </w:r>
      <w:r>
        <w:rPr>
          <w:rFonts w:ascii="宋体" w:hAnsi="宋体" w:hint="eastAsia"/>
          <w:sz w:val="24"/>
          <w:szCs w:val="24"/>
        </w:rPr>
        <w:t>横盘整理</w:t>
      </w:r>
      <w:r w:rsidRPr="004D32F5">
        <w:rPr>
          <w:rFonts w:ascii="宋体" w:hAnsi="宋体" w:hint="eastAsia"/>
          <w:sz w:val="24"/>
          <w:szCs w:val="24"/>
        </w:rPr>
        <w:t>。渤商所动力煤今日报收</w:t>
      </w:r>
      <w:r>
        <w:rPr>
          <w:rFonts w:ascii="宋体" w:hAnsi="宋体" w:hint="eastAsia"/>
          <w:sz w:val="24"/>
          <w:szCs w:val="24"/>
        </w:rPr>
        <w:t>326</w:t>
      </w:r>
      <w:r w:rsidRPr="004D32F5">
        <w:rPr>
          <w:rFonts w:ascii="宋体" w:hAnsi="宋体" w:hint="eastAsia"/>
          <w:sz w:val="24"/>
          <w:szCs w:val="24"/>
        </w:rPr>
        <w:t>元</w:t>
      </w:r>
      <w:r w:rsidRPr="004D32F5">
        <w:rPr>
          <w:rFonts w:ascii="宋体" w:hAnsi="宋体"/>
          <w:sz w:val="24"/>
          <w:szCs w:val="24"/>
        </w:rPr>
        <w:t>/</w:t>
      </w:r>
      <w:r w:rsidRPr="004D32F5">
        <w:rPr>
          <w:rFonts w:ascii="宋体" w:hAnsi="宋体" w:hint="eastAsia"/>
          <w:sz w:val="24"/>
          <w:szCs w:val="24"/>
        </w:rPr>
        <w:t>吨，均价</w:t>
      </w:r>
      <w:r>
        <w:rPr>
          <w:rFonts w:ascii="宋体" w:hAnsi="宋体" w:hint="eastAsia"/>
          <w:sz w:val="24"/>
          <w:szCs w:val="24"/>
        </w:rPr>
        <w:t>326</w:t>
      </w:r>
      <w:r w:rsidRPr="004D32F5">
        <w:rPr>
          <w:rFonts w:ascii="宋体" w:hAnsi="宋体" w:hint="eastAsia"/>
          <w:sz w:val="24"/>
          <w:szCs w:val="24"/>
        </w:rPr>
        <w:t>元</w:t>
      </w:r>
      <w:r w:rsidRPr="004D32F5">
        <w:rPr>
          <w:rFonts w:ascii="宋体" w:hAnsi="宋体"/>
          <w:sz w:val="24"/>
          <w:szCs w:val="24"/>
        </w:rPr>
        <w:t>/</w:t>
      </w:r>
      <w:r w:rsidRPr="004D32F5">
        <w:rPr>
          <w:rFonts w:ascii="宋体" w:hAnsi="宋体" w:hint="eastAsia"/>
          <w:sz w:val="24"/>
          <w:szCs w:val="24"/>
        </w:rPr>
        <w:t>吨</w:t>
      </w:r>
      <w:r w:rsidRPr="004D32F5">
        <w:rPr>
          <w:rFonts w:ascii="宋体" w:hAnsi="宋体"/>
          <w:sz w:val="24"/>
          <w:szCs w:val="24"/>
        </w:rPr>
        <w:t>。</w:t>
      </w:r>
      <w:r w:rsidRPr="004D32F5">
        <w:rPr>
          <w:rFonts w:ascii="宋体" w:hAnsi="宋体" w:hint="eastAsia"/>
          <w:sz w:val="24"/>
          <w:szCs w:val="24"/>
        </w:rPr>
        <w:t>现渤海盘面动力煤价格高于港口煤炭成交价格，与期货价格价差</w:t>
      </w:r>
      <w:r>
        <w:rPr>
          <w:rFonts w:ascii="宋体" w:hAnsi="宋体" w:hint="eastAsia"/>
          <w:sz w:val="24"/>
          <w:szCs w:val="24"/>
        </w:rPr>
        <w:t>44.6</w:t>
      </w:r>
      <w:r w:rsidRPr="004D32F5">
        <w:rPr>
          <w:rFonts w:ascii="宋体" w:hAnsi="宋体" w:hint="eastAsia"/>
          <w:sz w:val="24"/>
          <w:szCs w:val="24"/>
        </w:rPr>
        <w:t>元</w:t>
      </w:r>
      <w:r w:rsidRPr="004D32F5">
        <w:rPr>
          <w:rFonts w:ascii="宋体" w:hAnsi="宋体"/>
          <w:sz w:val="24"/>
          <w:szCs w:val="24"/>
        </w:rPr>
        <w:t>/</w:t>
      </w:r>
      <w:r w:rsidRPr="004D32F5">
        <w:rPr>
          <w:rFonts w:ascii="宋体" w:hAnsi="宋体" w:hint="eastAsia"/>
          <w:sz w:val="24"/>
          <w:szCs w:val="24"/>
        </w:rPr>
        <w:t>吨，建议期现套利谨慎操作，注意及时止盈止损。</w:t>
      </w:r>
    </w:p>
    <w:p w:rsidR="000C32B9" w:rsidRDefault="000C32B9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652F4B" w:rsidRPr="00652F4B" w:rsidRDefault="00652F4B" w:rsidP="00D82FB6">
      <w:pPr>
        <w:spacing w:beforeLines="100" w:before="312" w:line="360" w:lineRule="auto"/>
        <w:outlineLvl w:val="0"/>
        <w:rPr>
          <w:rFonts w:hAnsi="仿宋_GB2312"/>
          <w:b/>
          <w:bCs/>
          <w:sz w:val="36"/>
          <w:szCs w:val="36"/>
        </w:rPr>
      </w:pPr>
    </w:p>
    <w:p w:rsidR="009A33E3" w:rsidRPr="0030309E" w:rsidRDefault="009A33E3" w:rsidP="009A33E3">
      <w:pPr>
        <w:spacing w:beforeLines="50" w:before="156" w:line="360" w:lineRule="auto"/>
        <w:ind w:firstLineChars="200" w:firstLine="480"/>
        <w:rPr>
          <w:rFonts w:eastAsia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FE3CA9" w:rsidRDefault="008A5C3D" w:rsidP="008A5C3D">
      <w:r>
        <w:rPr>
          <w:rFonts w:hAnsi="仿宋_GB2312" w:cs="Times New Roman"/>
          <w:b/>
          <w:bCs/>
          <w:sz w:val="36"/>
          <w:szCs w:val="36"/>
        </w:rPr>
        <w:br w:type="page"/>
      </w:r>
      <w:r>
        <w:rPr>
          <w:rFonts w:ascii="宋体" w:hAnsi="宋体" w:hint="eastAsia"/>
          <w:b/>
          <w:kern w:val="0"/>
          <w:sz w:val="24"/>
          <w:szCs w:val="24"/>
        </w:rPr>
        <w:lastRenderedPageBreak/>
        <w:t>免责声明：本报告的信息均来源于公开资料，我公司对这些信息的准确性和完整性不作任何保证，也不保证所包含的信息和建议不会发生任何变更。我们已力求报告内容的客观、公正，但文中的观点、结论和建议仅供参考，报告中的信息或意见并不构成所述品种的买卖出价，投资者据此做出的任何投资决策与本公司和作者无关。</w:t>
      </w:r>
    </w:p>
    <w:sectPr w:rsidR="00FE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01" w:rsidRDefault="00964601" w:rsidP="008A5C3D">
      <w:r>
        <w:separator/>
      </w:r>
    </w:p>
  </w:endnote>
  <w:endnote w:type="continuationSeparator" w:id="0">
    <w:p w:rsidR="00964601" w:rsidRDefault="00964601" w:rsidP="008A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01" w:rsidRDefault="00964601" w:rsidP="008A5C3D">
      <w:r>
        <w:separator/>
      </w:r>
    </w:p>
  </w:footnote>
  <w:footnote w:type="continuationSeparator" w:id="0">
    <w:p w:rsidR="00964601" w:rsidRDefault="00964601" w:rsidP="008A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057"/>
    <w:multiLevelType w:val="hybridMultilevel"/>
    <w:tmpl w:val="B21C73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27889"/>
    <w:multiLevelType w:val="hybridMultilevel"/>
    <w:tmpl w:val="CB0E78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4F178C"/>
    <w:multiLevelType w:val="multilevel"/>
    <w:tmpl w:val="0A4F178C"/>
    <w:lvl w:ilvl="0">
      <w:start w:val="1"/>
      <w:numFmt w:val="decimal"/>
      <w:lvlText w:val="%1."/>
      <w:lvlJc w:val="left"/>
      <w:pPr>
        <w:ind w:left="860" w:hanging="42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13FF6175"/>
    <w:multiLevelType w:val="hybridMultilevel"/>
    <w:tmpl w:val="F7E6B5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F63FE6"/>
    <w:multiLevelType w:val="hybridMultilevel"/>
    <w:tmpl w:val="2E9452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4D7EC6"/>
    <w:multiLevelType w:val="hybridMultilevel"/>
    <w:tmpl w:val="F5042B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2A088D"/>
    <w:multiLevelType w:val="hybridMultilevel"/>
    <w:tmpl w:val="4F04E0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F52AB0"/>
    <w:multiLevelType w:val="hybridMultilevel"/>
    <w:tmpl w:val="424E40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E83568"/>
    <w:multiLevelType w:val="hybridMultilevel"/>
    <w:tmpl w:val="0A827F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52A6905"/>
    <w:multiLevelType w:val="hybridMultilevel"/>
    <w:tmpl w:val="3BB02A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C52B97"/>
    <w:multiLevelType w:val="hybridMultilevel"/>
    <w:tmpl w:val="1012D2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8E200F6"/>
    <w:multiLevelType w:val="hybridMultilevel"/>
    <w:tmpl w:val="46685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3C348BD"/>
    <w:multiLevelType w:val="hybridMultilevel"/>
    <w:tmpl w:val="98BE43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4565B70"/>
    <w:multiLevelType w:val="hybridMultilevel"/>
    <w:tmpl w:val="76D0A1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8384968"/>
    <w:multiLevelType w:val="hybridMultilevel"/>
    <w:tmpl w:val="B540EC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D29699F"/>
    <w:multiLevelType w:val="hybridMultilevel"/>
    <w:tmpl w:val="9D1A9E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5FB42B7"/>
    <w:multiLevelType w:val="hybridMultilevel"/>
    <w:tmpl w:val="C598F3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B5C1EE3"/>
    <w:multiLevelType w:val="hybridMultilevel"/>
    <w:tmpl w:val="891098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F866BB"/>
    <w:multiLevelType w:val="hybridMultilevel"/>
    <w:tmpl w:val="D9B21A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653348"/>
    <w:multiLevelType w:val="hybridMultilevel"/>
    <w:tmpl w:val="C6D20A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2521F4A"/>
    <w:multiLevelType w:val="hybridMultilevel"/>
    <w:tmpl w:val="FFA26E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6E570D"/>
    <w:multiLevelType w:val="hybridMultilevel"/>
    <w:tmpl w:val="D22C9B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67D20AC"/>
    <w:multiLevelType w:val="hybridMultilevel"/>
    <w:tmpl w:val="5E02D8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574400"/>
    <w:multiLevelType w:val="hybridMultilevel"/>
    <w:tmpl w:val="7C4262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89647C"/>
    <w:multiLevelType w:val="hybridMultilevel"/>
    <w:tmpl w:val="F3267A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9D07B1C"/>
    <w:multiLevelType w:val="hybridMultilevel"/>
    <w:tmpl w:val="4328B2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D65E24"/>
    <w:multiLevelType w:val="hybridMultilevel"/>
    <w:tmpl w:val="1944B2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105A66"/>
    <w:multiLevelType w:val="hybridMultilevel"/>
    <w:tmpl w:val="91947A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D09094C"/>
    <w:multiLevelType w:val="hybridMultilevel"/>
    <w:tmpl w:val="BCD48F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FF708DB"/>
    <w:multiLevelType w:val="hybridMultilevel"/>
    <w:tmpl w:val="F948F3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  <w:lvlOverride w:ilvl="0">
      <w:startOverride w:val="1"/>
    </w:lvlOverride>
  </w:num>
  <w:num w:numId="4">
    <w:abstractNumId w:val="17"/>
  </w:num>
  <w:num w:numId="5">
    <w:abstractNumId w:val="1"/>
  </w:num>
  <w:num w:numId="6">
    <w:abstractNumId w:val="14"/>
  </w:num>
  <w:num w:numId="7">
    <w:abstractNumId w:val="8"/>
  </w:num>
  <w:num w:numId="8">
    <w:abstractNumId w:val="12"/>
  </w:num>
  <w:num w:numId="9">
    <w:abstractNumId w:val="25"/>
  </w:num>
  <w:num w:numId="10">
    <w:abstractNumId w:val="10"/>
  </w:num>
  <w:num w:numId="11">
    <w:abstractNumId w:val="16"/>
  </w:num>
  <w:num w:numId="12">
    <w:abstractNumId w:val="5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0"/>
  </w:num>
  <w:num w:numId="18">
    <w:abstractNumId w:val="9"/>
  </w:num>
  <w:num w:numId="19">
    <w:abstractNumId w:val="29"/>
  </w:num>
  <w:num w:numId="20">
    <w:abstractNumId w:val="13"/>
  </w:num>
  <w:num w:numId="21">
    <w:abstractNumId w:val="7"/>
  </w:num>
  <w:num w:numId="22">
    <w:abstractNumId w:val="19"/>
  </w:num>
  <w:num w:numId="23">
    <w:abstractNumId w:val="26"/>
  </w:num>
  <w:num w:numId="24">
    <w:abstractNumId w:val="27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  <w:num w:numId="29">
    <w:abstractNumId w:val="23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9"/>
    <w:rsid w:val="000460F4"/>
    <w:rsid w:val="000A4E4A"/>
    <w:rsid w:val="000C1A6E"/>
    <w:rsid w:val="000C32B9"/>
    <w:rsid w:val="00105E58"/>
    <w:rsid w:val="00106C8D"/>
    <w:rsid w:val="00141C69"/>
    <w:rsid w:val="0014486C"/>
    <w:rsid w:val="00156C41"/>
    <w:rsid w:val="00164680"/>
    <w:rsid w:val="001B0AEF"/>
    <w:rsid w:val="001C2F1C"/>
    <w:rsid w:val="001D2B71"/>
    <w:rsid w:val="001D6384"/>
    <w:rsid w:val="001F09E5"/>
    <w:rsid w:val="00211BBE"/>
    <w:rsid w:val="00217FFB"/>
    <w:rsid w:val="0023017F"/>
    <w:rsid w:val="002512F5"/>
    <w:rsid w:val="00277AE8"/>
    <w:rsid w:val="002B10EA"/>
    <w:rsid w:val="0030309E"/>
    <w:rsid w:val="0032694A"/>
    <w:rsid w:val="003A7580"/>
    <w:rsid w:val="003B793B"/>
    <w:rsid w:val="003F4EE0"/>
    <w:rsid w:val="00405CCE"/>
    <w:rsid w:val="00413550"/>
    <w:rsid w:val="0041734D"/>
    <w:rsid w:val="00426B50"/>
    <w:rsid w:val="00435673"/>
    <w:rsid w:val="0044078A"/>
    <w:rsid w:val="004411BC"/>
    <w:rsid w:val="004433B1"/>
    <w:rsid w:val="00480D4B"/>
    <w:rsid w:val="004A10F9"/>
    <w:rsid w:val="004A40E4"/>
    <w:rsid w:val="004B4011"/>
    <w:rsid w:val="004D14D1"/>
    <w:rsid w:val="004D7C60"/>
    <w:rsid w:val="004E7993"/>
    <w:rsid w:val="00502370"/>
    <w:rsid w:val="0051070C"/>
    <w:rsid w:val="0052127E"/>
    <w:rsid w:val="005265E3"/>
    <w:rsid w:val="0058233A"/>
    <w:rsid w:val="005B4891"/>
    <w:rsid w:val="005E2276"/>
    <w:rsid w:val="005F2192"/>
    <w:rsid w:val="00605B4E"/>
    <w:rsid w:val="006127E8"/>
    <w:rsid w:val="00627EA7"/>
    <w:rsid w:val="00652F4B"/>
    <w:rsid w:val="00682D6C"/>
    <w:rsid w:val="006B18E6"/>
    <w:rsid w:val="00742F58"/>
    <w:rsid w:val="0075517C"/>
    <w:rsid w:val="00775C6D"/>
    <w:rsid w:val="007A12E2"/>
    <w:rsid w:val="007C205D"/>
    <w:rsid w:val="00843122"/>
    <w:rsid w:val="008671DD"/>
    <w:rsid w:val="008A5C3D"/>
    <w:rsid w:val="008B74DC"/>
    <w:rsid w:val="008D1E66"/>
    <w:rsid w:val="008D268F"/>
    <w:rsid w:val="008D7930"/>
    <w:rsid w:val="00925072"/>
    <w:rsid w:val="00932101"/>
    <w:rsid w:val="009332E5"/>
    <w:rsid w:val="00950B79"/>
    <w:rsid w:val="00964601"/>
    <w:rsid w:val="009A33E3"/>
    <w:rsid w:val="009A72DF"/>
    <w:rsid w:val="009C0BB4"/>
    <w:rsid w:val="009D47E2"/>
    <w:rsid w:val="00A0780E"/>
    <w:rsid w:val="00A24B4C"/>
    <w:rsid w:val="00A577E9"/>
    <w:rsid w:val="00A95AAE"/>
    <w:rsid w:val="00AE6971"/>
    <w:rsid w:val="00AF497B"/>
    <w:rsid w:val="00AF4E86"/>
    <w:rsid w:val="00B40D55"/>
    <w:rsid w:val="00B41B0F"/>
    <w:rsid w:val="00B82932"/>
    <w:rsid w:val="00B86AB7"/>
    <w:rsid w:val="00B9381C"/>
    <w:rsid w:val="00BA1617"/>
    <w:rsid w:val="00BC5195"/>
    <w:rsid w:val="00BE1B63"/>
    <w:rsid w:val="00BF0DCB"/>
    <w:rsid w:val="00BF342E"/>
    <w:rsid w:val="00BF667D"/>
    <w:rsid w:val="00C03BD1"/>
    <w:rsid w:val="00C10262"/>
    <w:rsid w:val="00C1282A"/>
    <w:rsid w:val="00C75430"/>
    <w:rsid w:val="00C8576C"/>
    <w:rsid w:val="00C91AA5"/>
    <w:rsid w:val="00C92533"/>
    <w:rsid w:val="00CA210A"/>
    <w:rsid w:val="00D24604"/>
    <w:rsid w:val="00D81661"/>
    <w:rsid w:val="00D82FB6"/>
    <w:rsid w:val="00DA1A7F"/>
    <w:rsid w:val="00DB5419"/>
    <w:rsid w:val="00DF57C3"/>
    <w:rsid w:val="00E00523"/>
    <w:rsid w:val="00E23C6D"/>
    <w:rsid w:val="00E35EBF"/>
    <w:rsid w:val="00E46EDC"/>
    <w:rsid w:val="00EC2537"/>
    <w:rsid w:val="00EE5F0E"/>
    <w:rsid w:val="00EE637D"/>
    <w:rsid w:val="00F4578C"/>
    <w:rsid w:val="00F72300"/>
    <w:rsid w:val="00F92D01"/>
    <w:rsid w:val="00FC1426"/>
    <w:rsid w:val="00FC5CA0"/>
    <w:rsid w:val="00FD1A8D"/>
    <w:rsid w:val="00FD767C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3D"/>
    <w:pPr>
      <w:widowControl w:val="0"/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C3D"/>
    <w:rPr>
      <w:sz w:val="18"/>
      <w:szCs w:val="18"/>
    </w:rPr>
  </w:style>
  <w:style w:type="paragraph" w:styleId="a5">
    <w:name w:val="Normal (Web)"/>
    <w:unhideWhenUsed/>
    <w:rsid w:val="00950B7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6B50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426B50"/>
    <w:pPr>
      <w:ind w:firstLineChars="200" w:firstLine="420"/>
      <w:jc w:val="left"/>
    </w:pPr>
    <w:rPr>
      <w:rFonts w:ascii="Calibri" w:hAnsi="Calibri" w:cs="Times New Roman"/>
      <w:sz w:val="24"/>
      <w:szCs w:val="22"/>
    </w:rPr>
  </w:style>
  <w:style w:type="table" w:styleId="a7">
    <w:name w:val="Table Grid"/>
    <w:basedOn w:val="a1"/>
    <w:uiPriority w:val="59"/>
    <w:rsid w:val="00426B5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A1617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74">
    <w:name w:val="列出段落74"/>
    <w:basedOn w:val="a"/>
    <w:uiPriority w:val="99"/>
    <w:rsid w:val="006127E8"/>
    <w:pPr>
      <w:ind w:firstLineChars="200" w:firstLine="420"/>
    </w:pPr>
    <w:rPr>
      <w:rFonts w:ascii="Calibri" w:hAnsi="Calibri" w:cs="Times New Roman"/>
      <w:szCs w:val="22"/>
    </w:rPr>
  </w:style>
  <w:style w:type="table" w:styleId="-5">
    <w:name w:val="Light Shading Accent 5"/>
    <w:basedOn w:val="a1"/>
    <w:uiPriority w:val="60"/>
    <w:rsid w:val="001F09E5"/>
    <w:rPr>
      <w:rFonts w:ascii="Calibri" w:eastAsia="宋体" w:hAnsi="Calibri" w:cs="Times New Roman"/>
      <w:color w:val="31849B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Medium List 1"/>
    <w:basedOn w:val="a1"/>
    <w:uiPriority w:val="65"/>
    <w:rsid w:val="001F09E5"/>
    <w:rPr>
      <w:rFonts w:ascii="Calibri" w:eastAsia="宋体" w:hAnsi="Calibri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2B1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3D"/>
    <w:pPr>
      <w:widowControl w:val="0"/>
      <w:jc w:val="both"/>
    </w:pPr>
    <w:rPr>
      <w:rFonts w:ascii="Times New Roman" w:eastAsia="宋体" w:hAnsi="Times New Roman" w:cs="宋体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C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C3D"/>
    <w:rPr>
      <w:sz w:val="18"/>
      <w:szCs w:val="18"/>
    </w:rPr>
  </w:style>
  <w:style w:type="paragraph" w:styleId="a5">
    <w:name w:val="Normal (Web)"/>
    <w:unhideWhenUsed/>
    <w:rsid w:val="00950B7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6B50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426B50"/>
    <w:pPr>
      <w:ind w:firstLineChars="200" w:firstLine="420"/>
      <w:jc w:val="left"/>
    </w:pPr>
    <w:rPr>
      <w:rFonts w:ascii="Calibri" w:hAnsi="Calibri" w:cs="Times New Roman"/>
      <w:sz w:val="24"/>
      <w:szCs w:val="22"/>
    </w:rPr>
  </w:style>
  <w:style w:type="table" w:styleId="a7">
    <w:name w:val="Table Grid"/>
    <w:basedOn w:val="a1"/>
    <w:uiPriority w:val="59"/>
    <w:rsid w:val="00426B5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A1617"/>
    <w:pPr>
      <w:ind w:firstLineChars="200" w:firstLine="420"/>
    </w:pPr>
    <w:rPr>
      <w:rFonts w:ascii="Calibri" w:hAnsi="Calibri" w:cs="Times New Roman"/>
      <w:szCs w:val="22"/>
    </w:rPr>
  </w:style>
  <w:style w:type="paragraph" w:customStyle="1" w:styleId="74">
    <w:name w:val="列出段落74"/>
    <w:basedOn w:val="a"/>
    <w:uiPriority w:val="99"/>
    <w:rsid w:val="006127E8"/>
    <w:pPr>
      <w:ind w:firstLineChars="200" w:firstLine="420"/>
    </w:pPr>
    <w:rPr>
      <w:rFonts w:ascii="Calibri" w:hAnsi="Calibri" w:cs="Times New Roman"/>
      <w:szCs w:val="22"/>
    </w:rPr>
  </w:style>
  <w:style w:type="table" w:styleId="-5">
    <w:name w:val="Light Shading Accent 5"/>
    <w:basedOn w:val="a1"/>
    <w:uiPriority w:val="60"/>
    <w:rsid w:val="001F09E5"/>
    <w:rPr>
      <w:rFonts w:ascii="Calibri" w:eastAsia="宋体" w:hAnsi="Calibri" w:cs="Times New Roman"/>
      <w:color w:val="31849B" w:themeColor="accent5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Medium List 1"/>
    <w:basedOn w:val="a1"/>
    <w:uiPriority w:val="65"/>
    <w:rsid w:val="001F09E5"/>
    <w:rPr>
      <w:rFonts w:ascii="Calibri" w:eastAsia="宋体" w:hAnsi="Calibri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2B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12</cp:revision>
  <dcterms:created xsi:type="dcterms:W3CDTF">2015-09-16T08:55:00Z</dcterms:created>
  <dcterms:modified xsi:type="dcterms:W3CDTF">2015-09-23T09:22:00Z</dcterms:modified>
</cp:coreProperties>
</file>